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9EA91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34"/>
        <w:gridCol w:w="1121"/>
        <w:gridCol w:w="7507"/>
      </w:tblGrid>
      <w:tr w:rsidR="007A0A3D" w:rsidRPr="002450C4" w14:paraId="103B6D74" w14:textId="77777777" w:rsidTr="004079CF">
        <w:tc>
          <w:tcPr>
            <w:tcW w:w="434" w:type="dxa"/>
          </w:tcPr>
          <w:p w14:paraId="20D8A8B9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121" w:type="dxa"/>
          </w:tcPr>
          <w:p w14:paraId="32CD9833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7507" w:type="dxa"/>
          </w:tcPr>
          <w:p w14:paraId="1454B1F3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0808668D" w14:textId="77777777" w:rsidTr="004079CF">
        <w:tc>
          <w:tcPr>
            <w:tcW w:w="434" w:type="dxa"/>
          </w:tcPr>
          <w:p w14:paraId="52E2BB21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5F31BF79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7507" w:type="dxa"/>
          </w:tcPr>
          <w:p w14:paraId="128B60AC" w14:textId="17DC3C75" w:rsidR="007A0A3D" w:rsidRPr="004079CF" w:rsidRDefault="006E45DE" w:rsidP="0092099A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Genomowa Mapa Polski w otwartym dostępie – digit</w:t>
            </w:r>
            <w:r w:rsidR="006A5B2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a</w:t>
            </w: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lizacja zasobów biomolekularnych Pracowni Biobank UŁ.</w:t>
            </w:r>
          </w:p>
        </w:tc>
      </w:tr>
      <w:tr w:rsidR="007A0A3D" w:rsidRPr="002450C4" w14:paraId="2EA51087" w14:textId="77777777" w:rsidTr="004079CF">
        <w:trPr>
          <w:trHeight w:val="265"/>
        </w:trPr>
        <w:tc>
          <w:tcPr>
            <w:tcW w:w="434" w:type="dxa"/>
          </w:tcPr>
          <w:p w14:paraId="4552EE5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198D4AA8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7507" w:type="dxa"/>
          </w:tcPr>
          <w:p w14:paraId="5C75CF78" w14:textId="77777777" w:rsidR="001C611C" w:rsidRPr="004079CF" w:rsidRDefault="006E45DE" w:rsidP="006E45DE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Uniwersytet Łódzki</w:t>
            </w:r>
          </w:p>
        </w:tc>
      </w:tr>
      <w:tr w:rsidR="007A0A3D" w:rsidRPr="002450C4" w14:paraId="14AFB62C" w14:textId="77777777" w:rsidTr="004079CF">
        <w:tc>
          <w:tcPr>
            <w:tcW w:w="434" w:type="dxa"/>
          </w:tcPr>
          <w:p w14:paraId="0D77CE0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4827CB38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7507" w:type="dxa"/>
          </w:tcPr>
          <w:p w14:paraId="39ABF3AB" w14:textId="77777777" w:rsidR="007A0A3D" w:rsidRPr="004079CF" w:rsidRDefault="006E45DE" w:rsidP="00FD074F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Brak</w:t>
            </w:r>
            <w:r w:rsidR="00A1534B"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B107D" w:rsidRPr="002450C4" w14:paraId="544A9093" w14:textId="77777777" w:rsidTr="004079CF">
        <w:tc>
          <w:tcPr>
            <w:tcW w:w="434" w:type="dxa"/>
          </w:tcPr>
          <w:p w14:paraId="33EC81AA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13371BC5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 w:rsidRPr="003527FA">
              <w:rPr>
                <w:sz w:val="18"/>
                <w:szCs w:val="20"/>
              </w:rPr>
              <w:t>Postęp finansowy</w:t>
            </w:r>
          </w:p>
        </w:tc>
        <w:tc>
          <w:tcPr>
            <w:tcW w:w="7507" w:type="dxa"/>
          </w:tcPr>
          <w:p w14:paraId="44311335" w14:textId="77777777" w:rsidR="0065671B" w:rsidRDefault="0065671B" w:rsidP="00185BC9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Pierwotny koszt projektu: 10 000 000,00</w:t>
            </w:r>
          </w:p>
          <w:p w14:paraId="29BAAC66" w14:textId="77777777" w:rsidR="00ED15F7" w:rsidRPr="0065671B" w:rsidRDefault="00ED15F7" w:rsidP="00185BC9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ED15F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Ostatni planowany koszt realizacji projektu: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13 500 000</w:t>
            </w:r>
          </w:p>
          <w:p w14:paraId="79749E37" w14:textId="77777777" w:rsidR="006E45DE" w:rsidRPr="0065671B" w:rsidRDefault="006E45DE" w:rsidP="00185BC9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5671B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Faktyczny koszt projektu: </w:t>
            </w:r>
            <w:r w:rsidR="00ED15F7" w:rsidRPr="00ED15F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13 </w:t>
            </w:r>
            <w:r w:rsidR="00851485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019 797,88</w:t>
            </w:r>
          </w:p>
          <w:p w14:paraId="09E6AA08" w14:textId="77777777" w:rsidR="006E45DE" w:rsidRDefault="00ED15F7" w:rsidP="00185BC9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ED15F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Poziom realizacji kosztów w stosunku do</w:t>
            </w:r>
            <w:r w:rsidR="005618F1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D15F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ostatniego planu:</w:t>
            </w:r>
            <w:r w:rsidR="00A71A58" w:rsidRPr="0065671B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93</w:t>
            </w:r>
            <w:r w:rsidR="00851485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.89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%</w:t>
            </w:r>
            <w:r w:rsidR="00A71A58"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- trwają jeszcze kontrole</w:t>
            </w:r>
            <w:r w:rsid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, realizowane przez IP, </w:t>
            </w:r>
            <w:r w:rsidR="00A71A58"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postępowań o udzielenie zamówienia publicznego – projekt nie został jeszcze rozliczony</w:t>
            </w:r>
          </w:p>
          <w:p w14:paraId="7115A6BB" w14:textId="77777777" w:rsidR="0069019F" w:rsidRDefault="0069019F" w:rsidP="00185BC9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6AA4C1E" w14:textId="77777777" w:rsidR="0069019F" w:rsidRDefault="0069019F" w:rsidP="00185BC9">
            <w:pPr>
              <w:pStyle w:val="Other0"/>
              <w:jc w:val="both"/>
            </w:pPr>
            <w:r>
              <w:rPr>
                <w:color w:val="000000"/>
              </w:rPr>
              <w:t xml:space="preserve">Oszczędności </w:t>
            </w:r>
            <w:r>
              <w:t xml:space="preserve">w wysokości </w:t>
            </w:r>
            <w:r>
              <w:rPr>
                <w:b/>
                <w:bCs/>
                <w:color w:val="000000"/>
              </w:rPr>
              <w:t xml:space="preserve"> </w:t>
            </w:r>
            <w:r w:rsidR="00851485">
              <w:rPr>
                <w:b/>
                <w:bCs/>
                <w:color w:val="000000"/>
              </w:rPr>
              <w:t xml:space="preserve">480 202, 12 </w:t>
            </w:r>
            <w:r>
              <w:rPr>
                <w:b/>
                <w:bCs/>
                <w:color w:val="000000"/>
              </w:rPr>
              <w:t>PLN</w:t>
            </w:r>
            <w:r>
              <w:t xml:space="preserve"> </w:t>
            </w:r>
            <w:r>
              <w:rPr>
                <w:color w:val="000000"/>
              </w:rPr>
              <w:t>zostały wygenerowane w poniższych zadaniach:</w:t>
            </w:r>
          </w:p>
          <w:p w14:paraId="2E37023A" w14:textId="77777777" w:rsidR="0069019F" w:rsidRPr="00366786" w:rsidRDefault="0069019F" w:rsidP="00185BC9">
            <w:pPr>
              <w:pStyle w:val="Other0"/>
              <w:numPr>
                <w:ilvl w:val="0"/>
                <w:numId w:val="10"/>
              </w:numPr>
              <w:jc w:val="both"/>
            </w:pPr>
            <w:r w:rsidRPr="00366786">
              <w:rPr>
                <w:b/>
                <w:color w:val="000000"/>
              </w:rPr>
              <w:t>Zadanie 1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851485" w:rsidRPr="00851485">
              <w:rPr>
                <w:b/>
              </w:rPr>
              <w:t>Instalacja, uruchomienie i obsługa systemu Informatycznego Local EGA (LEGA)</w:t>
            </w:r>
          </w:p>
          <w:p w14:paraId="0F5D310E" w14:textId="77777777" w:rsidR="0069019F" w:rsidRPr="00366786" w:rsidRDefault="0069019F" w:rsidP="00185BC9">
            <w:pPr>
              <w:pStyle w:val="Other0"/>
              <w:ind w:left="708"/>
              <w:jc w:val="both"/>
            </w:pPr>
            <w:r w:rsidRPr="00366786">
              <w:rPr>
                <w:color w:val="000000"/>
              </w:rPr>
              <w:t xml:space="preserve">kwota </w:t>
            </w:r>
            <w:r w:rsidR="00851485" w:rsidRPr="00851485">
              <w:rPr>
                <w:color w:val="000000"/>
              </w:rPr>
              <w:t>356 998,03</w:t>
            </w:r>
            <w:r w:rsidRPr="00366786">
              <w:rPr>
                <w:color w:val="000000"/>
              </w:rPr>
              <w:t xml:space="preserve"> PLN : oszczędności wynikają z </w:t>
            </w:r>
            <w:r w:rsidR="00851485">
              <w:rPr>
                <w:color w:val="000000"/>
              </w:rPr>
              <w:t>(1) niższego niż założono kosztu wynagrodzeń – krótszy okres zatrudnienia personelu; (2) z uwagi na przedłużające się procedury przetargowe, nie skorzystano z wszystkich zaplanowanych usług zewnętrznych; (3) niższych niż zakładano cenach zakupu infrastruktury</w:t>
            </w:r>
            <w:r w:rsidR="00CB63F4">
              <w:rPr>
                <w:color w:val="000000"/>
              </w:rPr>
              <w:t xml:space="preserve"> i zewnętrznych usług</w:t>
            </w:r>
            <w:r w:rsidR="00851485">
              <w:rPr>
                <w:color w:val="000000"/>
              </w:rPr>
              <w:t xml:space="preserve"> IT.</w:t>
            </w:r>
          </w:p>
          <w:p w14:paraId="052FB297" w14:textId="77777777" w:rsidR="0069019F" w:rsidRPr="00366786" w:rsidRDefault="0069019F" w:rsidP="00185BC9">
            <w:pPr>
              <w:pStyle w:val="Other0"/>
              <w:numPr>
                <w:ilvl w:val="0"/>
                <w:numId w:val="10"/>
              </w:numPr>
              <w:jc w:val="both"/>
            </w:pPr>
            <w:r w:rsidRPr="00366786">
              <w:rPr>
                <w:b/>
                <w:color w:val="000000"/>
              </w:rPr>
              <w:t>Zadanie 2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851485" w:rsidRPr="00851485">
              <w:t>Digitalizacja Zasobów</w:t>
            </w:r>
            <w:r w:rsidRPr="00366786">
              <w:t>:</w:t>
            </w:r>
          </w:p>
          <w:p w14:paraId="11E30FCB" w14:textId="77777777" w:rsidR="0069019F" w:rsidRPr="00366786" w:rsidRDefault="0069019F" w:rsidP="00185BC9">
            <w:pPr>
              <w:pStyle w:val="Other0"/>
              <w:ind w:left="708"/>
              <w:jc w:val="both"/>
            </w:pPr>
            <w:r w:rsidRPr="00366786">
              <w:t>k</w:t>
            </w:r>
            <w:r w:rsidRPr="00366786">
              <w:rPr>
                <w:color w:val="000000"/>
              </w:rPr>
              <w:t xml:space="preserve">wota </w:t>
            </w:r>
            <w:r w:rsidR="00851485" w:rsidRPr="00851485">
              <w:rPr>
                <w:color w:val="000000"/>
              </w:rPr>
              <w:t>21 487,71</w:t>
            </w:r>
            <w:r w:rsidRPr="00366786">
              <w:rPr>
                <w:color w:val="000000"/>
              </w:rPr>
              <w:t xml:space="preserve"> PLN - oszczędności wynikają z niższego </w:t>
            </w:r>
            <w:r w:rsidR="00903F9E">
              <w:rPr>
                <w:color w:val="000000"/>
              </w:rPr>
              <w:t>niż założono kosztu wynagrodzeń</w:t>
            </w:r>
            <w:r w:rsidRPr="00366786">
              <w:rPr>
                <w:color w:val="000000"/>
              </w:rPr>
              <w:t xml:space="preserve"> </w:t>
            </w:r>
          </w:p>
          <w:p w14:paraId="4EE1966B" w14:textId="77777777" w:rsidR="0069019F" w:rsidRPr="00366786" w:rsidRDefault="0069019F" w:rsidP="00185BC9">
            <w:pPr>
              <w:pStyle w:val="Other0"/>
              <w:numPr>
                <w:ilvl w:val="0"/>
                <w:numId w:val="10"/>
              </w:numPr>
              <w:jc w:val="both"/>
            </w:pPr>
            <w:r w:rsidRPr="00366786">
              <w:rPr>
                <w:b/>
                <w:color w:val="000000"/>
              </w:rPr>
              <w:t>Zadanie 3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903F9E" w:rsidRPr="00903F9E">
              <w:t>Kierownik projektu + studium wykonalności</w:t>
            </w:r>
            <w:r w:rsidRPr="00366786">
              <w:t>:</w:t>
            </w:r>
          </w:p>
          <w:p w14:paraId="3F545F23" w14:textId="77777777" w:rsidR="0069019F" w:rsidRDefault="0069019F" w:rsidP="00185BC9">
            <w:pPr>
              <w:pStyle w:val="Other0"/>
              <w:ind w:left="708"/>
              <w:jc w:val="both"/>
            </w:pPr>
            <w:r>
              <w:t>k</w:t>
            </w:r>
            <w:r>
              <w:rPr>
                <w:color w:val="000000"/>
              </w:rPr>
              <w:t xml:space="preserve">wota  </w:t>
            </w:r>
            <w:r w:rsidR="00903F9E" w:rsidRPr="00903F9E">
              <w:rPr>
                <w:color w:val="000000"/>
              </w:rPr>
              <w:t xml:space="preserve">19 388,67 </w:t>
            </w:r>
            <w:r>
              <w:rPr>
                <w:color w:val="000000"/>
              </w:rPr>
              <w:t xml:space="preserve">PLN - </w:t>
            </w:r>
            <w:r w:rsidR="00903F9E" w:rsidRPr="00366786">
              <w:rPr>
                <w:color w:val="000000"/>
              </w:rPr>
              <w:t xml:space="preserve">oszczędności wynikają z niższego </w:t>
            </w:r>
            <w:r w:rsidR="00903F9E">
              <w:rPr>
                <w:color w:val="000000"/>
              </w:rPr>
              <w:t>niż założono kosztu wynagrodzeń</w:t>
            </w:r>
          </w:p>
          <w:p w14:paraId="22D29A82" w14:textId="77777777" w:rsidR="0069019F" w:rsidRDefault="0069019F" w:rsidP="00185BC9">
            <w:pPr>
              <w:pStyle w:val="Other0"/>
              <w:numPr>
                <w:ilvl w:val="0"/>
                <w:numId w:val="10"/>
              </w:numPr>
              <w:jc w:val="both"/>
            </w:pPr>
            <w:r w:rsidRPr="00366786">
              <w:rPr>
                <w:b/>
                <w:color w:val="000000"/>
              </w:rPr>
              <w:t>Zadanie 4:</w:t>
            </w:r>
            <w:r>
              <w:t xml:space="preserve"> </w:t>
            </w:r>
            <w:r w:rsidR="00903F9E" w:rsidRPr="00903F9E">
              <w:t>Szkolenia</w:t>
            </w:r>
            <w:r>
              <w:t>:</w:t>
            </w:r>
          </w:p>
          <w:p w14:paraId="047E2A13" w14:textId="77777777" w:rsidR="00903F9E" w:rsidRDefault="0069019F" w:rsidP="00185BC9">
            <w:pPr>
              <w:pStyle w:val="Other0"/>
              <w:ind w:left="708"/>
              <w:jc w:val="both"/>
              <w:rPr>
                <w:color w:val="000000"/>
              </w:rPr>
            </w:pPr>
            <w:r>
              <w:t>k</w:t>
            </w:r>
            <w:r>
              <w:rPr>
                <w:color w:val="000000"/>
              </w:rPr>
              <w:t xml:space="preserve">wota </w:t>
            </w:r>
            <w:r w:rsidR="00903F9E" w:rsidRPr="00903F9E">
              <w:rPr>
                <w:color w:val="000000"/>
              </w:rPr>
              <w:t xml:space="preserve">19 660,00 </w:t>
            </w:r>
            <w:r>
              <w:rPr>
                <w:color w:val="000000"/>
              </w:rPr>
              <w:t xml:space="preserve">PLN - oszczędności wynikają z mniejszego niż planowano </w:t>
            </w:r>
            <w:r w:rsidR="00903F9E">
              <w:rPr>
                <w:color w:val="000000"/>
              </w:rPr>
              <w:t>zakresu szkoleń – ostatnie z serii otwartych szkoleń zostało odwołane. Nowy termin szkolenia wykraczał poza okres kwalifikowalności kosztów.</w:t>
            </w:r>
          </w:p>
          <w:p w14:paraId="7720BAE5" w14:textId="77777777" w:rsidR="00903F9E" w:rsidRDefault="00903F9E" w:rsidP="00185BC9">
            <w:pPr>
              <w:pStyle w:val="Other0"/>
              <w:numPr>
                <w:ilvl w:val="0"/>
                <w:numId w:val="10"/>
              </w:numPr>
              <w:jc w:val="both"/>
            </w:pPr>
            <w:r>
              <w:rPr>
                <w:b/>
                <w:color w:val="000000"/>
              </w:rPr>
              <w:t>Zadanie 6</w:t>
            </w:r>
            <w:r w:rsidRPr="00366786">
              <w:rPr>
                <w:b/>
                <w:color w:val="000000"/>
              </w:rPr>
              <w:t>:</w:t>
            </w:r>
            <w:r>
              <w:t xml:space="preserve"> Koszty pośrednie:</w:t>
            </w:r>
          </w:p>
          <w:p w14:paraId="3DAED289" w14:textId="77777777" w:rsidR="00903F9E" w:rsidRDefault="00903F9E" w:rsidP="00185BC9">
            <w:pPr>
              <w:pStyle w:val="Other0"/>
              <w:ind w:left="708"/>
              <w:jc w:val="both"/>
              <w:rPr>
                <w:color w:val="000000"/>
              </w:rPr>
            </w:pPr>
            <w:r>
              <w:t>k</w:t>
            </w:r>
            <w:r>
              <w:rPr>
                <w:color w:val="000000"/>
              </w:rPr>
              <w:t xml:space="preserve">wota </w:t>
            </w:r>
            <w:r w:rsidRPr="00903F9E">
              <w:rPr>
                <w:color w:val="000000"/>
              </w:rPr>
              <w:t xml:space="preserve">63 157,47 </w:t>
            </w:r>
            <w:r>
              <w:rPr>
                <w:color w:val="000000"/>
              </w:rPr>
              <w:t>PLN - oszczędności wynikają ze sposobu naliczania kosztów pośrednich, które są poch</w:t>
            </w:r>
            <w:r w:rsidR="008D14CD">
              <w:rPr>
                <w:color w:val="000000"/>
              </w:rPr>
              <w:t>o</w:t>
            </w:r>
            <w:r>
              <w:rPr>
                <w:color w:val="000000"/>
              </w:rPr>
              <w:t>dną kosztów wynagrodzeń. Ponieważ koszty wynagrodzeń były niższe niż zakładano proporcjonalnie dotyczy to również kosztów pośrednich</w:t>
            </w:r>
          </w:p>
          <w:p w14:paraId="76CFA89C" w14:textId="77777777" w:rsidR="0069019F" w:rsidRDefault="0069019F" w:rsidP="00185BC9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4AF7EAE2" w14:textId="77777777" w:rsidR="0065671B" w:rsidRPr="0065671B" w:rsidRDefault="0065671B" w:rsidP="00185BC9">
            <w:pPr>
              <w:pStyle w:val="Other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Zakontraktowana wartość dofinansowania: </w:t>
            </w:r>
            <w:r w:rsidRPr="0065671B">
              <w:rPr>
                <w:b/>
                <w:bCs/>
                <w:color w:val="000000"/>
              </w:rPr>
              <w:t xml:space="preserve">13 </w:t>
            </w:r>
            <w:r w:rsidR="00ED15F7">
              <w:rPr>
                <w:b/>
                <w:bCs/>
                <w:color w:val="000000"/>
              </w:rPr>
              <w:t>500</w:t>
            </w:r>
            <w:r w:rsidR="0069019F">
              <w:rPr>
                <w:b/>
                <w:bCs/>
                <w:color w:val="000000"/>
              </w:rPr>
              <w:t> 00</w:t>
            </w:r>
            <w:r w:rsidRPr="0065671B">
              <w:rPr>
                <w:b/>
                <w:bCs/>
                <w:color w:val="000000"/>
              </w:rPr>
              <w:t>0,00</w:t>
            </w:r>
            <w:r>
              <w:rPr>
                <w:b/>
                <w:bCs/>
                <w:color w:val="000000"/>
              </w:rPr>
              <w:t xml:space="preserve"> zł</w:t>
            </w:r>
          </w:p>
          <w:p w14:paraId="23FAAD48" w14:textId="77777777" w:rsidR="00AD09B9" w:rsidRDefault="0065671B" w:rsidP="00185BC9">
            <w:pPr>
              <w:pStyle w:val="Other0"/>
              <w:jc w:val="both"/>
              <w:rPr>
                <w:bCs/>
                <w:color w:val="000000"/>
              </w:rPr>
            </w:pPr>
            <w:r w:rsidRPr="0065671B">
              <w:rPr>
                <w:b/>
                <w:bCs/>
                <w:color w:val="000000"/>
              </w:rPr>
              <w:t>Poziom certyfikacji w odniesieniu do zakontraktowanej wartości dofinansowania</w:t>
            </w:r>
            <w:r>
              <w:rPr>
                <w:b/>
                <w:bCs/>
                <w:color w:val="000000"/>
              </w:rPr>
              <w:t xml:space="preserve">: </w:t>
            </w:r>
            <w:r w:rsidR="00ED15F7">
              <w:rPr>
                <w:b/>
                <w:bCs/>
                <w:color w:val="000000"/>
              </w:rPr>
              <w:t>90.55%</w:t>
            </w:r>
            <w:r w:rsidR="005618F1">
              <w:rPr>
                <w:b/>
                <w:bCs/>
                <w:color w:val="000000"/>
              </w:rPr>
              <w:t xml:space="preserve"> - </w:t>
            </w:r>
            <w:r w:rsidR="005618F1" w:rsidRPr="0065671B">
              <w:rPr>
                <w:bCs/>
                <w:color w:val="000000"/>
              </w:rPr>
              <w:t>trwają jeszcze kontrole</w:t>
            </w:r>
            <w:r w:rsidR="005618F1">
              <w:rPr>
                <w:bCs/>
                <w:color w:val="000000"/>
              </w:rPr>
              <w:t xml:space="preserve">, realizowane przez IP, </w:t>
            </w:r>
            <w:r w:rsidR="005618F1" w:rsidRPr="0065671B">
              <w:rPr>
                <w:bCs/>
                <w:color w:val="000000"/>
              </w:rPr>
              <w:t>postępowań o udzielenie zamówienia publicznego – projekt nie został jeszcze rozliczony</w:t>
            </w:r>
          </w:p>
          <w:p w14:paraId="62D65A14" w14:textId="77777777" w:rsidR="00185BC9" w:rsidRPr="00185BC9" w:rsidRDefault="00185BC9" w:rsidP="00185BC9">
            <w:pPr>
              <w:pStyle w:val="Other0"/>
              <w:rPr>
                <w:b/>
                <w:bCs/>
                <w:color w:val="000000"/>
              </w:rPr>
            </w:pPr>
          </w:p>
        </w:tc>
      </w:tr>
      <w:tr w:rsidR="007A0A3D" w:rsidRPr="00AD09B9" w14:paraId="1756EABC" w14:textId="77777777" w:rsidTr="004079CF">
        <w:tc>
          <w:tcPr>
            <w:tcW w:w="434" w:type="dxa"/>
          </w:tcPr>
          <w:p w14:paraId="4B99330A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4F47E617" w14:textId="77777777" w:rsidR="007A0A3D" w:rsidRPr="002450C4" w:rsidRDefault="005A4344">
            <w:pPr>
              <w:rPr>
                <w:sz w:val="18"/>
                <w:szCs w:val="20"/>
              </w:rPr>
            </w:pPr>
            <w:r w:rsidRPr="003527FA">
              <w:rPr>
                <w:sz w:val="18"/>
                <w:szCs w:val="20"/>
              </w:rPr>
              <w:t>Postęp rzeczowy</w:t>
            </w:r>
          </w:p>
        </w:tc>
        <w:tc>
          <w:tcPr>
            <w:tcW w:w="7507" w:type="dxa"/>
          </w:tcPr>
          <w:p w14:paraId="1452E9EF" w14:textId="77777777" w:rsidR="005618F1" w:rsidRPr="00850976" w:rsidRDefault="005618F1" w:rsidP="005618F1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rozpoczęcia realizacji projektu: </w:t>
            </w:r>
            <w:r w:rsidR="00306035">
              <w:rPr>
                <w:color w:val="000000"/>
              </w:rPr>
              <w:t>2020-08-01</w:t>
            </w:r>
          </w:p>
          <w:p w14:paraId="4BE526AD" w14:textId="77777777" w:rsidR="005618F1" w:rsidRPr="00850976" w:rsidRDefault="005618F1" w:rsidP="005618F1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="00306035">
              <w:rPr>
                <w:color w:val="000000"/>
              </w:rPr>
              <w:t>2020-10-01</w:t>
            </w:r>
          </w:p>
          <w:p w14:paraId="3109A52C" w14:textId="77777777" w:rsidR="005618F1" w:rsidRDefault="005618F1" w:rsidP="005618F1">
            <w:pPr>
              <w:pStyle w:val="Other0"/>
            </w:pPr>
            <w:r>
              <w:rPr>
                <w:b/>
                <w:bCs/>
                <w:color w:val="000000"/>
              </w:rPr>
              <w:t xml:space="preserve">Faktyczna data rozpoczęcia realizacji projektu: </w:t>
            </w:r>
            <w:r w:rsidR="00306035" w:rsidRPr="00306035">
              <w:rPr>
                <w:b/>
                <w:color w:val="000000"/>
              </w:rPr>
              <w:t>2020-10-01</w:t>
            </w:r>
          </w:p>
          <w:p w14:paraId="5A125928" w14:textId="77777777" w:rsidR="005618F1" w:rsidRPr="00850976" w:rsidRDefault="005618F1" w:rsidP="005618F1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zakończenia realizacji projektu: </w:t>
            </w:r>
            <w:r w:rsidR="00306035">
              <w:rPr>
                <w:color w:val="000000"/>
              </w:rPr>
              <w:t>2023-01-31</w:t>
            </w:r>
          </w:p>
          <w:p w14:paraId="0CF33B03" w14:textId="77777777" w:rsidR="005618F1" w:rsidRPr="00850976" w:rsidRDefault="005618F1" w:rsidP="005618F1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zakończenia realizacji projektu: </w:t>
            </w:r>
            <w:r w:rsidR="00306035">
              <w:rPr>
                <w:color w:val="000000"/>
              </w:rPr>
              <w:t>2023-12-31</w:t>
            </w:r>
          </w:p>
          <w:p w14:paraId="6A2B8FA5" w14:textId="77777777" w:rsidR="005618F1" w:rsidRDefault="005618F1" w:rsidP="005618F1">
            <w:pPr>
              <w:pStyle w:val="Other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Faktyczna data z</w:t>
            </w:r>
            <w:r w:rsidR="00306035">
              <w:rPr>
                <w:b/>
                <w:bCs/>
                <w:color w:val="000000"/>
              </w:rPr>
              <w:t>akończenia realizacji projektu: 2023-12-31</w:t>
            </w:r>
          </w:p>
          <w:p w14:paraId="24329791" w14:textId="77777777" w:rsidR="005618F1" w:rsidRDefault="005618F1" w:rsidP="005618F1">
            <w:pPr>
              <w:pStyle w:val="Other0"/>
            </w:pPr>
          </w:p>
          <w:p w14:paraId="43ED5B5C" w14:textId="77777777" w:rsidR="005618F1" w:rsidRDefault="005618F1" w:rsidP="005618F1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Przyczyną zmiany terminu zakończenia realizacji projektu w stosunku do pierwotnego planu jest:</w:t>
            </w:r>
          </w:p>
          <w:p w14:paraId="03D6AF6B" w14:textId="77777777" w:rsidR="005618F1" w:rsidRPr="00CB63F4" w:rsidRDefault="005618F1">
            <w:pP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5E144AED" w14:textId="77777777" w:rsidR="00CB63F4" w:rsidRPr="0065671B" w:rsidRDefault="00306035" w:rsidP="00CB63F4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CB63F4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Problemy z dostarczeniem odpowiedniej przestrzeni składowania danych, przez usługi </w:t>
            </w:r>
            <w:r w:rsidR="00CB63F4" w:rsidRPr="00CB63F4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desygnowane przez Radę Architektury IT</w:t>
            </w:r>
            <w:r w:rsidR="00CB63F4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do obsługi niniejszego projektu</w:t>
            </w:r>
            <w:r w:rsidR="00CB63F4" w:rsidRPr="00CB63F4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. </w:t>
            </w:r>
            <w:r w:rsidR="00CB63F4"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Mianowicie (1) repozytorium „Polska Platforma Medyczna” nie posiadało wystarczającej przestrzeni składowania (2) problemami technicznymi repozytorium KRONIKa, które skutkowały brakiem możliwości deponowania danych wygenerowanych przez Beneficjenta i przeznaczonych do udostępnienia.</w:t>
            </w:r>
          </w:p>
          <w:p w14:paraId="4B8B42A2" w14:textId="77777777" w:rsidR="00CB63F4" w:rsidRPr="0065671B" w:rsidRDefault="00CB63F4" w:rsidP="00CB63F4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38882734" w14:textId="77777777" w:rsidR="00CB63F4" w:rsidRPr="0065671B" w:rsidRDefault="00CB63F4" w:rsidP="00CB63F4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Zgodnie z projektem zatwierdzonym przez Radę Architektury oba wymienione repozytoria miały dostarczyć miejsca na dane – KRONIKa była zapasową przestrzenią.</w:t>
            </w:r>
          </w:p>
          <w:p w14:paraId="5A54D460" w14:textId="77777777" w:rsidR="00CB63F4" w:rsidRPr="0065671B" w:rsidRDefault="00CB63F4" w:rsidP="00CB63F4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3644297" w14:textId="5ED67DE6" w:rsidR="00CB63F4" w:rsidRPr="0065671B" w:rsidRDefault="00CB63F4" w:rsidP="00CB63F4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Po uzyskaniu, w początkowej fazie projektu, informacji o braku wolnych zasobów po stronie PPM, Beneficjent rozpoczął pracę w oparciu o zasób rezerwowy.  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Zgodnie z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harmonogramem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Beneficjent opracował integrację systemu z API KRONIKi i po pomyślnych testach modelu rozpoczął pracę nad wersją końcową oprogramowania. Przystępując do testów wersji Beta okazało się, iż API Kroniki nie działa. Tłumaczone to było zmianą operatora.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Po około 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rocznej przerwie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KRONIK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a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została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lastRenderedPageBreak/>
              <w:t xml:space="preserve">uruchomiona natomiast API 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nadal nie był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o funkcjonalne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. Pomimo, iż problemy zostały zasygnalizowane IP ponad rok przed planowanym końcem projektu, to z uwagi na stanowisko KRONIKi zgoda na zmiany została udzielona dopiero niecałe 4 miesiące przed końcem projektu. Decydujący wpływ na zmianę stanowiska Kroniki miała weryfikacja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zapisów specyfiki łącza – 100 M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b/sec i limit transferu na poziomie 5TB/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miesiąc jakie zostało wykupione 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do obsługi przesyłania danych. Ostatecznie po dokładnych analizach i konsultacjach z udziałem w różnych konfiguracjach przedstawicieli CPPC, WIIP, KRO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N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IKi, COI, MFiPR uznano, iż najlepszą </w:t>
            </w:r>
            <w:r w:rsidR="00544510"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ścieżk</w:t>
            </w:r>
            <w:r w:rsidR="00544510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ą</w:t>
            </w:r>
            <w:r w:rsidR="00544510"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realizacji projektu jest </w:t>
            </w:r>
            <w:r w:rsidR="00544510"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budow</w:t>
            </w:r>
            <w:r w:rsidR="00544510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a</w:t>
            </w:r>
            <w:r w:rsidR="00544510"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przez Beneficjenta własnej infrastruktury</w:t>
            </w:r>
            <w:r w:rsidR="00544510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,</w:t>
            </w:r>
            <w:r w:rsidRPr="0065671B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w oparciu o którą zdigitalizowane dane będą udostępniane.</w:t>
            </w:r>
          </w:p>
          <w:p w14:paraId="385B5AEC" w14:textId="77777777" w:rsidR="00306035" w:rsidRDefault="00306035"/>
          <w:p w14:paraId="23BBCED3" w14:textId="77777777" w:rsidR="005618F1" w:rsidRDefault="005618F1"/>
          <w:tbl>
            <w:tblPr>
              <w:tblStyle w:val="Tabela-Siatka"/>
              <w:tblW w:w="7261" w:type="dxa"/>
              <w:tblLayout w:type="fixed"/>
              <w:tblLook w:val="04A0" w:firstRow="1" w:lastRow="0" w:firstColumn="1" w:lastColumn="0" w:noHBand="0" w:noVBand="1"/>
            </w:tblPr>
            <w:tblGrid>
              <w:gridCol w:w="1577"/>
              <w:gridCol w:w="1172"/>
              <w:gridCol w:w="1134"/>
              <w:gridCol w:w="3378"/>
            </w:tblGrid>
            <w:tr w:rsidR="00AD09B9" w14:paraId="102CB85E" w14:textId="77777777" w:rsidTr="004079CF">
              <w:trPr>
                <w:tblHeader/>
              </w:trPr>
              <w:tc>
                <w:tcPr>
                  <w:tcW w:w="1577" w:type="dxa"/>
                  <w:shd w:val="clear" w:color="auto" w:fill="D0CECE" w:themeFill="background2" w:themeFillShade="E6"/>
                </w:tcPr>
                <w:p w14:paraId="76FA4C3E" w14:textId="77777777" w:rsidR="00AD09B9" w:rsidRPr="005355DC" w:rsidRDefault="00AD09B9" w:rsidP="005355DC">
                  <w:pPr>
                    <w:pStyle w:val="Other0"/>
                    <w:rPr>
                      <w:b/>
                      <w:bCs/>
                    </w:rPr>
                  </w:pPr>
                  <w:r w:rsidRPr="005355DC">
                    <w:rPr>
                      <w:b/>
                      <w:bCs/>
                    </w:rPr>
                    <w:t>Nazwa</w:t>
                  </w:r>
                </w:p>
              </w:tc>
              <w:tc>
                <w:tcPr>
                  <w:tcW w:w="1172" w:type="dxa"/>
                  <w:shd w:val="clear" w:color="auto" w:fill="D0CECE" w:themeFill="background2" w:themeFillShade="E6"/>
                </w:tcPr>
                <w:p w14:paraId="7B4BCD52" w14:textId="77777777" w:rsidR="00AD09B9" w:rsidRPr="005355DC" w:rsidRDefault="00AD09B9" w:rsidP="005355DC">
                  <w:pPr>
                    <w:pStyle w:val="Other0"/>
                    <w:rPr>
                      <w:b/>
                      <w:bCs/>
                    </w:rPr>
                  </w:pPr>
                  <w:r w:rsidRPr="005355DC">
                    <w:rPr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1134" w:type="dxa"/>
                  <w:shd w:val="clear" w:color="auto" w:fill="D0CECE" w:themeFill="background2" w:themeFillShade="E6"/>
                </w:tcPr>
                <w:p w14:paraId="2610CB16" w14:textId="77777777" w:rsidR="00AD09B9" w:rsidRPr="005355DC" w:rsidRDefault="00AD09B9" w:rsidP="005355DC">
                  <w:pPr>
                    <w:pStyle w:val="Other0"/>
                    <w:rPr>
                      <w:b/>
                      <w:bCs/>
                    </w:rPr>
                  </w:pPr>
                  <w:r w:rsidRPr="005355DC">
                    <w:rPr>
                      <w:b/>
                      <w:bCs/>
                    </w:rPr>
                    <w:t>Rzeczywisty termin osiągnięcia</w:t>
                  </w:r>
                </w:p>
              </w:tc>
              <w:tc>
                <w:tcPr>
                  <w:tcW w:w="3378" w:type="dxa"/>
                  <w:shd w:val="clear" w:color="auto" w:fill="D0CECE" w:themeFill="background2" w:themeFillShade="E6"/>
                </w:tcPr>
                <w:p w14:paraId="6D4BCE0D" w14:textId="77777777" w:rsidR="00AD09B9" w:rsidRPr="005355DC" w:rsidRDefault="00AD09B9" w:rsidP="005355DC">
                  <w:pPr>
                    <w:pStyle w:val="Other0"/>
                    <w:rPr>
                      <w:b/>
                      <w:bCs/>
                    </w:rPr>
                  </w:pPr>
                  <w:r w:rsidRPr="005355DC">
                    <w:rPr>
                      <w:b/>
                      <w:bCs/>
                    </w:rPr>
                    <w:t>Status realizacji kamienia milowego</w:t>
                  </w:r>
                </w:p>
              </w:tc>
            </w:tr>
            <w:tr w:rsidR="00AD09B9" w14:paraId="180B545B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1EA9BA81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Przeszkolony personel laboratoryjny</w:t>
                  </w:r>
                </w:p>
                <w:p w14:paraId="70649DDC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5F08E733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03-2021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39A671E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07-2021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0572D0B4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Osiągnięto,  </w:t>
                  </w:r>
                </w:p>
                <w:p w14:paraId="20BD44F6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Opóźnienie wynika z przedłużenia procedury zakupowej infrastruktury NGS – szkolenia mogą zostać przeprowadzone po dostarczeniu instalacji i odbiorze urządzeń. Opóźnienie na tym etapie nie zagraża realizacji projektu w terminie.</w:t>
                  </w:r>
                </w:p>
              </w:tc>
            </w:tr>
            <w:tr w:rsidR="00AD09B9" w14:paraId="47B38A4F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05AFE960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Zakupiona infrastruktura </w:t>
                  </w:r>
                  <w:r w:rsidR="00BD1B2D"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niezbędna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 do procesu digitalizacji</w:t>
                  </w:r>
                </w:p>
                <w:p w14:paraId="4898B1D6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24EB2DCB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03-2021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6D48906C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13D96A9C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 .</w:t>
                  </w:r>
                </w:p>
                <w:p w14:paraId="16DBA164" w14:textId="6C82536F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Przedłużenie procedur zakupowych w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oparciu o przepisy znowelizowane przepisy PZP – obowiązujące od 01.01.2021..</w:t>
                  </w:r>
                </w:p>
                <w:p w14:paraId="02CB2E15" w14:textId="7F38462A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W celu minimalizacji ryzyka związanego z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błędnie przeprowadzonym postępowaniem przetargowym Beneficjent wystąpił do CPPC z prośba o kontrolę ex-ante. Prośba została rozpatrzona negatywnie a Beneficjent został skierowany do COI – gdzie również nie uzyskała pomocy. Niezależnie od kontaktów z w/w instytucjami w celu skrócenia procedury zakupu zostało opublikowane ogłoszenie wstępne – pozwalające na skrócenie czasu właściwego postepowania do 16 dni. Z uwagi na liczne pytania wykonawców (istotne pytania wpływały dzień przed terminem zakończenia składania ofert). Wiązało się to z koniecznością kilkukrotnego przełożenia terminu składania ofert. W trakcie jednej ze zmian terminu popełniony został błąd formalny. Błąd poległą na umieszczeniu ogłoszenia o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zmianie terminu składania ofert na stronie Beneficjenta przed publikacją w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Biuletynie Europejskim (publikacji dokonano dzień przed w/w terminem). Beneficjent (w obawie o nałożenie korekty finansowej przez CPPC) podjął decyzję o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unieważnieniu postępowania. </w:t>
                  </w:r>
                </w:p>
              </w:tc>
            </w:tr>
            <w:tr w:rsidR="00AD09B9" w14:paraId="09A4781E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4DCDD8C2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Zdigitalizowany zbiór pełnych genomów - stan 10% </w:t>
                  </w:r>
                </w:p>
                <w:p w14:paraId="6D017612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6C1B8A72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10-2021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79B25A1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10-2021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15FF9930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Osiągnięto </w:t>
                  </w:r>
                </w:p>
              </w:tc>
            </w:tr>
            <w:tr w:rsidR="00AD09B9" w14:paraId="4B952D72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05A0DACA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Zdigitalizowany zbiór egzomów - stan 10%</w:t>
                  </w:r>
                </w:p>
                <w:p w14:paraId="06F61A3A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2A58E84E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10-2021</w:t>
                  </w:r>
                </w:p>
                <w:p w14:paraId="2FD4CBE2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119E64E3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10-2021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04910C65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</w:t>
                  </w:r>
                </w:p>
              </w:tc>
            </w:tr>
            <w:tr w:rsidR="00AD09B9" w14:paraId="3EACDE7A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34FD5571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Utworzone ścieżki bioinformatyczne</w:t>
                  </w:r>
                </w:p>
                <w:p w14:paraId="75C3A085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6CF211AA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04-2021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1D9C90A2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10-2021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1A6563A8" w14:textId="74DDEFAE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 - Opóźnienie wynika z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przedłużenia procedury zakupowej infrastruktury NGS – wymagane jest uwzględnienie formatów danych początkowych – wytwarzanych w trakcie procesu digitalizacji</w:t>
                  </w:r>
                </w:p>
              </w:tc>
            </w:tr>
            <w:tr w:rsidR="00AD09B9" w14:paraId="2FC34337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08DFBBE0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Zdigitalizowany zbiór pełnych genomów - stan 40% </w:t>
                  </w:r>
                </w:p>
                <w:p w14:paraId="0A3733C8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02CA2400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01-2022</w:t>
                  </w:r>
                </w:p>
                <w:p w14:paraId="1FD3CB26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B253EA9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04-2022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7EE1994E" w14:textId="3180E615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 - Opóźnienie spowodowane jest problemami technicznymi z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uruchomieniem KRONIKi oraz długo utrzymującym się vacatem na stanowisku bioinformatyka</w:t>
                  </w:r>
                </w:p>
              </w:tc>
            </w:tr>
            <w:tr w:rsidR="00AD09B9" w14:paraId="3B0CA24B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70F674D0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Zdigitalizowany zbiór egzomów - stan 40%</w:t>
                  </w:r>
                </w:p>
                <w:p w14:paraId="39EC359E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35D1B129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01-2022</w:t>
                  </w:r>
                </w:p>
                <w:p w14:paraId="488645AA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22B6771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04-2022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362C4E57" w14:textId="7D5E8820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 - Opóźnienie spowodowane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jest problemami technicznymi z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uruchomieniem KRONIKi oraz długo utrzymującym się vacatem na stanowisku bioinformatyka</w:t>
                  </w:r>
                </w:p>
                <w:p w14:paraId="5CC635D9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AD09B9" w14:paraId="18F0D29C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6EBAF6A1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Zdigitalizowany zbiór egzomów - stan 70%</w:t>
                  </w:r>
                </w:p>
                <w:p w14:paraId="15946119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785DB10E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08-2022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D5E5009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10-2022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66313D1D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</w:t>
                  </w:r>
                </w:p>
                <w:p w14:paraId="0A026532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zgodnie z pierwotnym harmonogramem Beneficjent powinien mieć możliwość deponowania danych w repozytorium KRONIK@, z uwagi na problemy repozytorium z przepustowością łącza i API nie możliwe jest umieszczanie danych zgodnie z planem. Konieczność bardzo oszczędnego dysponowania dostępnymi zasobami spowalnia tempo procesu digitalizacji</w:t>
                  </w:r>
                </w:p>
              </w:tc>
            </w:tr>
            <w:tr w:rsidR="00AD09B9" w14:paraId="1288D351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69CC5AEC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Zakupione materiały niezbędnych w procesie digitalizacji </w:t>
                  </w:r>
                </w:p>
                <w:p w14:paraId="5FC90F09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3F52BD69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06-2023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439499F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12-2023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04CA48DC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</w:t>
                  </w:r>
                </w:p>
                <w:p w14:paraId="5F59C935" w14:textId="4449B613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W ramach zadania dostarczane są materiały niezbędne do digitalizacji. Z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uwagi na krótki termin przydatności odczynników zamówienia realizowane są w myśl zasady „Just in time”. Opóźnienie wynika z opóźnień w zadaniach dot. digitalizacji</w:t>
                  </w:r>
                </w:p>
              </w:tc>
            </w:tr>
            <w:tr w:rsidR="00AD09B9" w14:paraId="5D9C7CD3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261F94D5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Zdigitalizowany zbiór pełnych genomów - stan 70% </w:t>
                  </w:r>
                </w:p>
                <w:p w14:paraId="249D7105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470584CA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06-2023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9C40729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30537834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Osiągnięto.</w:t>
                  </w:r>
                </w:p>
                <w:p w14:paraId="0D37213C" w14:textId="19A06284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Opóźnienie spowodowane było brakiem przestrzeni składowania – dane, które powinny być przechowywane w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Repozytorium Kronika nadal przechowywane są w infrastrukturze Beneficjenta. Spowalnia to znacząco możliwości prowadzenia digitalizacji. Aby w ogóle możliwa była realizacja projektu posiłkowano się wynajętą przestrzenią składowania danych (dostawca LODMAN)</w:t>
                  </w:r>
                </w:p>
                <w:p w14:paraId="1702B312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AD09B9" w14:paraId="2DDB4E4E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576D88D6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Zwalidowane ścieżki bioinformatyczne </w:t>
                  </w:r>
                </w:p>
                <w:p w14:paraId="20275FF2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21989777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5F76DD2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303CF6F8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</w:t>
                  </w:r>
                </w:p>
              </w:tc>
            </w:tr>
            <w:tr w:rsidR="00AD09B9" w14:paraId="3C9CFD29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5157C161" w14:textId="77777777" w:rsidR="00AD09B9" w:rsidRPr="005355DC" w:rsidRDefault="00AD09B9" w:rsidP="00AD09B9">
                  <w:pPr>
                    <w:pStyle w:val="NormalnyWeb"/>
                    <w:shd w:val="clear" w:color="auto" w:fill="FFFFFF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Zakupiony sprzęt przestrzeni składowania danych i niezbędnej infrastruktury sieciowej </w:t>
                  </w:r>
                </w:p>
                <w:p w14:paraId="2EA2852C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2BDBC825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04-2023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299A0125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10-2023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142AA9C8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</w:t>
                  </w:r>
                </w:p>
                <w:p w14:paraId="43C0201E" w14:textId="5146A419" w:rsidR="00AD09B9" w:rsidRPr="005355DC" w:rsidRDefault="005355DC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Opóźnienie wynika z </w:t>
                  </w:r>
                  <w:r w:rsidR="00AD09B9"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Przedłużeni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a</w:t>
                  </w:r>
                  <w:r w:rsidR="00AD09B9"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postępowania na wybór operatora repozytorium KRONIK@ spowodowało prz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erwę w działaniu repozytorium i </w:t>
                  </w:r>
                  <w:r w:rsidR="00AD09B9"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wstrzymanie prac. Po zmianie operatora  pojawiły się problemy z funkcjonowaniem API. 30.09.2022 Beneficjent otrzymał informację o przepustowości łącza dost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ępnego dla KRONIKi – 100 Mb/s i </w:t>
                  </w:r>
                  <w:r w:rsidR="00AD09B9"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limitach transferu danych – 5TB. Takie parametry połączenia uniemożliwiają realizacje projektu w zakładanym zakresie 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– wprowadzono zmiany w umowie o </w:t>
                  </w:r>
                  <w:r w:rsidR="00AD09B9"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dofinansowanie. Przyczyny opóźnienia samego postępowania – odwołanie do KIO zakończone ponowna oceną ofert uzupełnionych przez oferentów.</w:t>
                  </w:r>
                </w:p>
              </w:tc>
            </w:tr>
            <w:tr w:rsidR="00AD09B9" w14:paraId="1BCACB77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6DA8D4B3" w14:textId="77777777" w:rsidR="00AD09B9" w:rsidRPr="005355DC" w:rsidRDefault="00AD09B9" w:rsidP="00AD09B9">
                  <w:pPr>
                    <w:pStyle w:val="NormalnyWeb"/>
                    <w:shd w:val="clear" w:color="auto" w:fill="FFFFFF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Zainstalowany i uruchomiony sprzęt przestrzeni składowania danych i niezbędnej infrastruktury sieciowej </w:t>
                  </w:r>
                </w:p>
                <w:p w14:paraId="00F4C9D2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49EF3B41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05-2023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9C10EC4" w14:textId="77777777" w:rsidR="00AD09B9" w:rsidRPr="005355DC" w:rsidRDefault="00AD09B9" w:rsidP="00AD09B9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11-2023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7E607EEB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Osiągnięto. </w:t>
                  </w:r>
                </w:p>
                <w:p w14:paraId="56F1F82D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Opóźnienie wynika z przedłużającego się wcześniejszego zadania – zakupu sprzętu.</w:t>
                  </w:r>
                </w:p>
              </w:tc>
            </w:tr>
            <w:tr w:rsidR="00AD09B9" w14:paraId="5C367527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4DEC4409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Zdigitalizowany zbiór pełnych egzomów - stan 100%</w:t>
                  </w:r>
                </w:p>
                <w:p w14:paraId="7BFAE2C2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62DA3658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03-2023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863B033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536B7363" w14:textId="0A275058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Osiągnięto. Opóźnienie spowodowane było brakiem przestrzeni składowania – dane, które powinny być przechowywane w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Repozytorium Kronika przechowywane były w infr</w:t>
                  </w:r>
                  <w:r w:rsidR="005F0C5D">
                    <w:rPr>
                      <w:rFonts w:ascii="Calibri" w:eastAsia="Calibri" w:hAnsi="Calibri" w:cs="Calibri"/>
                      <w:sz w:val="18"/>
                      <w:szCs w:val="18"/>
                    </w:rPr>
                    <w:t>astrukturze Beneficjenta. Aby w 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ogóle możliwa była realizacja projektu posiłkowano się wynajętą przestrzenią składowania danych (dostawca LODMAN)</w:t>
                  </w:r>
                </w:p>
              </w:tc>
            </w:tr>
            <w:tr w:rsidR="00AD09B9" w14:paraId="18FF0BE4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3039515B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Zainstalowany i uruchomiony system Węzła krajowego EGA (Local EGA) </w:t>
                  </w:r>
                </w:p>
                <w:p w14:paraId="21F2D106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7B499929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06-2023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185ACC2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12-2023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104179DA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Osiągnięto.</w:t>
                  </w:r>
                </w:p>
                <w:p w14:paraId="3AEC5ED6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Powód opóźnienia: realizacja zadania możliwa po zakończeniu wcześniejszych opóźnionych zadań.</w:t>
                  </w:r>
                </w:p>
              </w:tc>
            </w:tr>
            <w:tr w:rsidR="00AD09B9" w14:paraId="2F44C40F" w14:textId="77777777" w:rsidTr="004079CF">
              <w:tc>
                <w:tcPr>
                  <w:tcW w:w="1577" w:type="dxa"/>
                  <w:shd w:val="clear" w:color="auto" w:fill="auto"/>
                  <w:vAlign w:val="center"/>
                </w:tcPr>
                <w:p w14:paraId="0B77DCA2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Zdigitalizowany zbiór genomów- stan 100%</w:t>
                  </w:r>
                </w:p>
              </w:tc>
              <w:tc>
                <w:tcPr>
                  <w:tcW w:w="1172" w:type="dxa"/>
                  <w:shd w:val="clear" w:color="auto" w:fill="auto"/>
                  <w:vAlign w:val="center"/>
                </w:tcPr>
                <w:p w14:paraId="1057EC2D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09-2023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80C2C1A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12-2023</w:t>
                  </w:r>
                </w:p>
              </w:tc>
              <w:tc>
                <w:tcPr>
                  <w:tcW w:w="3378" w:type="dxa"/>
                  <w:shd w:val="clear" w:color="auto" w:fill="auto"/>
                </w:tcPr>
                <w:p w14:paraId="2604AC4D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Osiągnięto.</w:t>
                  </w:r>
                </w:p>
                <w:p w14:paraId="1C52CB0F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Powód opóźnienia: realizacja zadania możliwa po zakończeniu wcześniejszych opóźnionych zadań.</w:t>
                  </w:r>
                </w:p>
              </w:tc>
            </w:tr>
            <w:tr w:rsidR="00AD09B9" w14:paraId="4323EDF9" w14:textId="77777777" w:rsidTr="004079CF">
              <w:tc>
                <w:tcPr>
                  <w:tcW w:w="1577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C224378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Zrealizowane ścieżki bioinformatyczne</w:t>
                  </w: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br/>
                  </w:r>
                </w:p>
              </w:tc>
              <w:tc>
                <w:tcPr>
                  <w:tcW w:w="1172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83527F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09-2023</w:t>
                  </w:r>
                </w:p>
              </w:tc>
              <w:tc>
                <w:tcPr>
                  <w:tcW w:w="1134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</w:tcPr>
                <w:p w14:paraId="4E00AE5F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12-2023</w:t>
                  </w:r>
                </w:p>
              </w:tc>
              <w:tc>
                <w:tcPr>
                  <w:tcW w:w="3378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</w:tcPr>
                <w:p w14:paraId="0B2E635B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Osiągnięto.</w:t>
                  </w:r>
                </w:p>
                <w:p w14:paraId="0DA662AB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Powód opóźnienia: realizacja zadania możliwa po zakończeniu wcześniejszych opóźnionych zadań.</w:t>
                  </w:r>
                </w:p>
              </w:tc>
            </w:tr>
            <w:tr w:rsidR="00AD09B9" w14:paraId="1D8CB6DA" w14:textId="77777777" w:rsidTr="004079CF">
              <w:tc>
                <w:tcPr>
                  <w:tcW w:w="157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46D379B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Przygotowane dane do udostępnienia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CFB2074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09-2023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918F89A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12-2023</w:t>
                  </w:r>
                </w:p>
              </w:tc>
              <w:tc>
                <w:tcPr>
                  <w:tcW w:w="337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E060C87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Osiągnięto.</w:t>
                  </w:r>
                </w:p>
                <w:p w14:paraId="291B760E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Powód opóźnienia: realizacja zadania możliwa po zakończeniu wcześniejszych opóźnionych zadań.</w:t>
                  </w:r>
                </w:p>
              </w:tc>
            </w:tr>
            <w:tr w:rsidR="00AD09B9" w14:paraId="0F3FC9A4" w14:textId="77777777" w:rsidTr="004079CF">
              <w:tc>
                <w:tcPr>
                  <w:tcW w:w="157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A4F92C7" w14:textId="77777777" w:rsidR="00AD09B9" w:rsidRPr="005355DC" w:rsidRDefault="00AD09B9" w:rsidP="00AD09B9">
                  <w:pPr>
                    <w:pStyle w:val="NormalnyWeb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Udostępnione dane 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BE9E02" w14:textId="77777777" w:rsidR="00AD09B9" w:rsidRPr="005355DC" w:rsidRDefault="00AD09B9" w:rsidP="00AD09B9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09-2023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0C071AB" w14:textId="77777777" w:rsidR="00AD09B9" w:rsidRPr="005355DC" w:rsidRDefault="00AD09B9" w:rsidP="00AD09B9">
                  <w:pPr>
                    <w:pStyle w:val="Akapitzlist"/>
                    <w:ind w:left="7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12-2023</w:t>
                  </w:r>
                </w:p>
              </w:tc>
              <w:tc>
                <w:tcPr>
                  <w:tcW w:w="337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1D576C7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Osiągnięto.</w:t>
                  </w:r>
                </w:p>
                <w:p w14:paraId="653A78F9" w14:textId="77777777" w:rsidR="00AD09B9" w:rsidRPr="005355DC" w:rsidRDefault="00AD09B9" w:rsidP="005F0C5D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sz w:val="18"/>
                      <w:szCs w:val="18"/>
                    </w:rPr>
                    <w:t>Powód opóźnienia: realizacja zadania możliwa po zakończeniu wcześniejszych opóźnionych zadań.</w:t>
                  </w:r>
                </w:p>
              </w:tc>
            </w:tr>
          </w:tbl>
          <w:p w14:paraId="1D27629C" w14:textId="77777777" w:rsidR="002450C4" w:rsidRPr="00AD09B9" w:rsidRDefault="002450C4" w:rsidP="009D3D41">
            <w:pPr>
              <w:jc w:val="both"/>
              <w:rPr>
                <w:i/>
                <w:sz w:val="18"/>
                <w:szCs w:val="20"/>
              </w:rPr>
            </w:pPr>
          </w:p>
          <w:p w14:paraId="0AFEBFD6" w14:textId="77777777" w:rsidR="00AD09B9" w:rsidRPr="004079CF" w:rsidRDefault="005355DC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W wyniku realizacji projektu powstały następujące produkty:</w:t>
            </w:r>
          </w:p>
          <w:p w14:paraId="6A121AF4" w14:textId="77777777" w:rsidR="005355DC" w:rsidRPr="004079CF" w:rsidRDefault="005355DC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tbl>
            <w:tblPr>
              <w:tblStyle w:val="Tabela-Siatka"/>
              <w:tblW w:w="6093" w:type="dxa"/>
              <w:tblLayout w:type="fixed"/>
              <w:tblLook w:val="04A0" w:firstRow="1" w:lastRow="0" w:firstColumn="1" w:lastColumn="0" w:noHBand="0" w:noVBand="1"/>
            </w:tblPr>
            <w:tblGrid>
              <w:gridCol w:w="2550"/>
              <w:gridCol w:w="1700"/>
              <w:gridCol w:w="1843"/>
            </w:tblGrid>
            <w:tr w:rsidR="005355DC" w14:paraId="5520C41A" w14:textId="77777777" w:rsidTr="004079CF">
              <w:trPr>
                <w:tblHeader/>
              </w:trPr>
              <w:tc>
                <w:tcPr>
                  <w:tcW w:w="2550" w:type="dxa"/>
                  <w:shd w:val="clear" w:color="auto" w:fill="D0CECE" w:themeFill="background2" w:themeFillShade="E6"/>
                </w:tcPr>
                <w:p w14:paraId="53A0F4E8" w14:textId="77777777" w:rsidR="005355DC" w:rsidRPr="005355DC" w:rsidRDefault="005355DC" w:rsidP="005355DC">
                  <w:pPr>
                    <w:pStyle w:val="Other0"/>
                    <w:rPr>
                      <w:b/>
                      <w:bCs/>
                    </w:rPr>
                  </w:pPr>
                  <w:r w:rsidRPr="005355DC">
                    <w:rPr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1700" w:type="dxa"/>
                  <w:shd w:val="clear" w:color="auto" w:fill="D0CECE" w:themeFill="background2" w:themeFillShade="E6"/>
                </w:tcPr>
                <w:p w14:paraId="60E04232" w14:textId="77777777" w:rsidR="005355DC" w:rsidRPr="005355DC" w:rsidRDefault="005355DC" w:rsidP="005355DC">
                  <w:pPr>
                    <w:pStyle w:val="Other0"/>
                    <w:rPr>
                      <w:b/>
                      <w:bCs/>
                    </w:rPr>
                  </w:pPr>
                  <w:r w:rsidRPr="005355DC">
                    <w:rPr>
                      <w:b/>
                      <w:bCs/>
                    </w:rPr>
                    <w:t>Planowana data wdrożenia</w:t>
                  </w:r>
                </w:p>
              </w:tc>
              <w:tc>
                <w:tcPr>
                  <w:tcW w:w="1843" w:type="dxa"/>
                  <w:shd w:val="clear" w:color="auto" w:fill="D0CECE" w:themeFill="background2" w:themeFillShade="E6"/>
                </w:tcPr>
                <w:p w14:paraId="165850CF" w14:textId="77777777" w:rsidR="005355DC" w:rsidRPr="005355DC" w:rsidRDefault="005355DC" w:rsidP="005355DC">
                  <w:pPr>
                    <w:pStyle w:val="Other0"/>
                    <w:rPr>
                      <w:b/>
                      <w:bCs/>
                    </w:rPr>
                  </w:pPr>
                  <w:r w:rsidRPr="005355DC">
                    <w:rPr>
                      <w:b/>
                      <w:bCs/>
                    </w:rPr>
                    <w:t>Rzeczywista data wdrożenia</w:t>
                  </w:r>
                </w:p>
              </w:tc>
            </w:tr>
            <w:tr w:rsidR="005355DC" w:rsidRPr="008E5649" w14:paraId="524CD7DF" w14:textId="77777777" w:rsidTr="004079CF">
              <w:tc>
                <w:tcPr>
                  <w:tcW w:w="2550" w:type="dxa"/>
                  <w:shd w:val="clear" w:color="auto" w:fill="auto"/>
                </w:tcPr>
                <w:p w14:paraId="65100E68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Infrastruktura IT – Repozytorium danych naukowych Węzła krajowego EGA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14:paraId="34059A60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11-2023</w:t>
                  </w:r>
                </w:p>
                <w:p w14:paraId="5600329C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14:paraId="60A26D6D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12-2023</w:t>
                  </w:r>
                </w:p>
              </w:tc>
            </w:tr>
            <w:tr w:rsidR="005355DC" w:rsidRPr="008E5649" w14:paraId="600D9B6B" w14:textId="77777777" w:rsidTr="004079CF">
              <w:tc>
                <w:tcPr>
                  <w:tcW w:w="2550" w:type="dxa"/>
                  <w:shd w:val="clear" w:color="auto" w:fill="auto"/>
                </w:tcPr>
                <w:p w14:paraId="690267B7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Zdigitalizowane zasoby nauki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14:paraId="1C51D24A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09-2023</w:t>
                  </w:r>
                </w:p>
                <w:p w14:paraId="09FD2F90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14:paraId="51165026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12-2023</w:t>
                  </w:r>
                </w:p>
              </w:tc>
            </w:tr>
            <w:tr w:rsidR="004046E8" w:rsidRPr="008E5649" w14:paraId="3708C566" w14:textId="77777777" w:rsidTr="004079CF">
              <w:tc>
                <w:tcPr>
                  <w:tcW w:w="2550" w:type="dxa"/>
                  <w:shd w:val="clear" w:color="auto" w:fill="auto"/>
                </w:tcPr>
                <w:p w14:paraId="05A03041" w14:textId="306B8EE8" w:rsidR="004046E8" w:rsidRPr="005355DC" w:rsidRDefault="004046E8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Udostępnione zdigitalizowane zasoby nauki – 400 Genomów i 450 Egzomów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14:paraId="6D67E4FC" w14:textId="7F90A1B7" w:rsidR="004046E8" w:rsidRPr="005355DC" w:rsidRDefault="004046E8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09-2023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45C87A4D" w14:textId="709114AE" w:rsidR="004046E8" w:rsidRPr="005355DC" w:rsidRDefault="004046E8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12-2023</w:t>
                  </w:r>
                </w:p>
              </w:tc>
            </w:tr>
            <w:tr w:rsidR="005355DC" w:rsidRPr="008E5649" w14:paraId="304D3D4D" w14:textId="77777777" w:rsidTr="004079CF">
              <w:trPr>
                <w:trHeight w:val="243"/>
              </w:trPr>
              <w:tc>
                <w:tcPr>
                  <w:tcW w:w="2550" w:type="dxa"/>
                  <w:shd w:val="clear" w:color="auto" w:fill="auto"/>
                </w:tcPr>
                <w:p w14:paraId="05103B01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Infrastruktura digitalizacji ludzkiego DNA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14:paraId="5AB454C0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03-2021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53243D37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08-2021</w:t>
                  </w:r>
                </w:p>
              </w:tc>
            </w:tr>
            <w:tr w:rsidR="005355DC" w:rsidRPr="008E5649" w14:paraId="20332DCE" w14:textId="77777777" w:rsidTr="004079CF">
              <w:trPr>
                <w:trHeight w:val="243"/>
              </w:trPr>
              <w:tc>
                <w:tcPr>
                  <w:tcW w:w="2550" w:type="dxa"/>
                  <w:shd w:val="clear" w:color="auto" w:fill="auto"/>
                </w:tcPr>
                <w:p w14:paraId="1E35700B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Zmodyfikowana lokalna przestrzeń składowania danych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14:paraId="03180AE6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11-2023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4C66D62C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10-2023</w:t>
                  </w:r>
                </w:p>
              </w:tc>
            </w:tr>
            <w:tr w:rsidR="005355DC" w:rsidRPr="008E5649" w14:paraId="6FC9B63E" w14:textId="77777777" w:rsidTr="004079CF">
              <w:trPr>
                <w:trHeight w:val="243"/>
              </w:trPr>
              <w:tc>
                <w:tcPr>
                  <w:tcW w:w="2550" w:type="dxa"/>
                  <w:shd w:val="clear" w:color="auto" w:fill="auto"/>
                </w:tcPr>
                <w:p w14:paraId="6670FDD1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Materiały Promocyjno-Informacyjne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14:paraId="17C62DCB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11-2023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28D789AF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11-2023</w:t>
                  </w:r>
                </w:p>
              </w:tc>
            </w:tr>
            <w:tr w:rsidR="005355DC" w:rsidRPr="008E5649" w14:paraId="5A7DD6C1" w14:textId="77777777" w:rsidTr="004079CF">
              <w:trPr>
                <w:trHeight w:val="667"/>
              </w:trPr>
              <w:tc>
                <w:tcPr>
                  <w:tcW w:w="2550" w:type="dxa"/>
                  <w:shd w:val="clear" w:color="auto" w:fill="auto"/>
                </w:tcPr>
                <w:p w14:paraId="28616727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Węzeł Krajowy EGA (Local EGA)</w:t>
                  </w:r>
                </w:p>
              </w:tc>
              <w:tc>
                <w:tcPr>
                  <w:tcW w:w="1700" w:type="dxa"/>
                  <w:shd w:val="clear" w:color="auto" w:fill="auto"/>
                </w:tcPr>
                <w:p w14:paraId="3BBF1C1C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11-2023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2DA628F4" w14:textId="77777777" w:rsidR="005355DC" w:rsidRPr="005355DC" w:rsidRDefault="005355DC" w:rsidP="005355DC">
                  <w:pPr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55DC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12-2023</w:t>
                  </w:r>
                </w:p>
              </w:tc>
            </w:tr>
          </w:tbl>
          <w:p w14:paraId="28A49A35" w14:textId="77777777" w:rsidR="005355DC" w:rsidRPr="00AD09B9" w:rsidRDefault="005355DC" w:rsidP="009D3D41">
            <w:pPr>
              <w:jc w:val="both"/>
              <w:rPr>
                <w:i/>
                <w:sz w:val="18"/>
                <w:szCs w:val="20"/>
              </w:rPr>
            </w:pPr>
          </w:p>
          <w:p w14:paraId="4DBCB2E7" w14:textId="77777777" w:rsidR="005355DC" w:rsidRDefault="005355DC" w:rsidP="005355DC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głównych produktów projektu w stosunku do pierwotnego planu dotyczą:</w:t>
            </w:r>
          </w:p>
          <w:p w14:paraId="5B2824FA" w14:textId="77777777" w:rsidR="00AD09B9" w:rsidRPr="005355DC" w:rsidRDefault="005355DC" w:rsidP="003F1E7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5355DC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Węzeł Krajowy EGA (Local EGA)</w:t>
            </w:r>
          </w:p>
          <w:p w14:paraId="2E1F7B97" w14:textId="77777777" w:rsidR="005355DC" w:rsidRPr="005355DC" w:rsidRDefault="005355DC" w:rsidP="003F1E76">
            <w:pPr>
              <w:pStyle w:val="Akapitzlist"/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5355DC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Zmiania:</w:t>
            </w:r>
            <w:r w:rsidR="00CB63F4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Brak integracji z repozytorium KRONIKa jako przestrzenią składowania danych</w:t>
            </w:r>
          </w:p>
          <w:p w14:paraId="08D5117F" w14:textId="77777777" w:rsidR="005355DC" w:rsidRPr="005355DC" w:rsidRDefault="005355DC" w:rsidP="003F1E76">
            <w:pPr>
              <w:pStyle w:val="Akapitzlist"/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5355DC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Przyczyna zmiany:</w:t>
            </w:r>
            <w:r w:rsidR="00CB63F4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Problemy techniczne po stronie operatora KRONIKi szczegółowo opisane w punkcie 5.</w:t>
            </w:r>
          </w:p>
          <w:p w14:paraId="17F118F3" w14:textId="77777777" w:rsidR="00AD09B9" w:rsidRPr="00AD09B9" w:rsidRDefault="00AD09B9" w:rsidP="009D3D41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4D135D" w:rsidRPr="002450C4" w14:paraId="0EC7E775" w14:textId="77777777" w:rsidTr="004079CF">
        <w:tc>
          <w:tcPr>
            <w:tcW w:w="434" w:type="dxa"/>
          </w:tcPr>
          <w:p w14:paraId="7C77FA92" w14:textId="77777777" w:rsidR="004D135D" w:rsidRPr="00AD09B9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21D4AFCC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7507" w:type="dxa"/>
          </w:tcPr>
          <w:p w14:paraId="7768E937" w14:textId="77777777" w:rsidR="004D135D" w:rsidRDefault="00AD09B9" w:rsidP="00E30008">
            <w:pPr>
              <w:rPr>
                <w:bCs/>
                <w:i/>
                <w:sz w:val="18"/>
                <w:szCs w:val="20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Nie dotyczy</w:t>
            </w:r>
          </w:p>
        </w:tc>
      </w:tr>
      <w:tr w:rsidR="00920CE8" w:rsidRPr="002450C4" w14:paraId="435067ED" w14:textId="77777777" w:rsidTr="004079CF">
        <w:tc>
          <w:tcPr>
            <w:tcW w:w="434" w:type="dxa"/>
          </w:tcPr>
          <w:p w14:paraId="26072C60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7C3E338A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507" w:type="dxa"/>
          </w:tcPr>
          <w:tbl>
            <w:tblPr>
              <w:tblStyle w:val="Tabela-Siatka"/>
              <w:tblpPr w:leftFromText="141" w:rightFromText="141" w:horzAnchor="margin" w:tblpY="555"/>
              <w:tblOverlap w:val="never"/>
              <w:tblW w:w="6651" w:type="dxa"/>
              <w:tblLayout w:type="fixed"/>
              <w:tblLook w:val="04A0" w:firstRow="1" w:lastRow="0" w:firstColumn="1" w:lastColumn="0" w:noHBand="0" w:noVBand="1"/>
            </w:tblPr>
            <w:tblGrid>
              <w:gridCol w:w="2545"/>
              <w:gridCol w:w="1842"/>
              <w:gridCol w:w="2264"/>
            </w:tblGrid>
            <w:tr w:rsidR="003368BC" w:rsidRPr="004079CF" w14:paraId="06046BD9" w14:textId="77777777" w:rsidTr="004046E8">
              <w:trPr>
                <w:tblHeader/>
              </w:trPr>
              <w:tc>
                <w:tcPr>
                  <w:tcW w:w="2545" w:type="dxa"/>
                  <w:shd w:val="clear" w:color="auto" w:fill="D0CECE" w:themeFill="background2" w:themeFillShade="E6"/>
                  <w:vAlign w:val="center"/>
                </w:tcPr>
                <w:p w14:paraId="794C3F13" w14:textId="77777777" w:rsidR="003368BC" w:rsidRPr="004079CF" w:rsidRDefault="003368BC" w:rsidP="004079CF">
                  <w:pPr>
                    <w:pStyle w:val="Other0"/>
                    <w:rPr>
                      <w:b/>
                      <w:bCs/>
                    </w:rPr>
                  </w:pPr>
                  <w:r w:rsidRPr="004079CF">
                    <w:rPr>
                      <w:b/>
                      <w:bCs/>
                    </w:rPr>
                    <w:t>Nazwa</w:t>
                  </w:r>
                </w:p>
              </w:tc>
              <w:tc>
                <w:tcPr>
                  <w:tcW w:w="1842" w:type="dxa"/>
                  <w:shd w:val="clear" w:color="auto" w:fill="D0CECE" w:themeFill="background2" w:themeFillShade="E6"/>
                  <w:vAlign w:val="center"/>
                </w:tcPr>
                <w:p w14:paraId="7D1CA52C" w14:textId="77777777" w:rsidR="003368BC" w:rsidRPr="004079CF" w:rsidRDefault="003368BC" w:rsidP="004079CF">
                  <w:pPr>
                    <w:pStyle w:val="Other0"/>
                    <w:rPr>
                      <w:b/>
                      <w:bCs/>
                    </w:rPr>
                  </w:pPr>
                  <w:r w:rsidRPr="004079CF">
                    <w:rPr>
                      <w:b/>
                      <w:bCs/>
                    </w:rPr>
                    <w:t xml:space="preserve">Wartość </w:t>
                  </w:r>
                </w:p>
                <w:p w14:paraId="4EF99121" w14:textId="77777777" w:rsidR="003368BC" w:rsidRPr="004079CF" w:rsidRDefault="003368BC" w:rsidP="004079CF">
                  <w:pPr>
                    <w:pStyle w:val="Other0"/>
                    <w:rPr>
                      <w:b/>
                      <w:bCs/>
                    </w:rPr>
                  </w:pPr>
                  <w:r w:rsidRPr="004079CF">
                    <w:rPr>
                      <w:b/>
                      <w:bCs/>
                    </w:rPr>
                    <w:t>docelowa</w:t>
                  </w:r>
                </w:p>
              </w:tc>
              <w:tc>
                <w:tcPr>
                  <w:tcW w:w="2264" w:type="dxa"/>
                  <w:shd w:val="clear" w:color="auto" w:fill="D0CECE" w:themeFill="background2" w:themeFillShade="E6"/>
                  <w:vAlign w:val="center"/>
                </w:tcPr>
                <w:p w14:paraId="57417A7A" w14:textId="77777777" w:rsidR="003368BC" w:rsidRPr="004079CF" w:rsidRDefault="003368BC" w:rsidP="004079CF">
                  <w:pPr>
                    <w:pStyle w:val="Other0"/>
                    <w:rPr>
                      <w:b/>
                      <w:bCs/>
                    </w:rPr>
                  </w:pPr>
                  <w:r w:rsidRPr="004079CF">
                    <w:rPr>
                      <w:b/>
                      <w:bCs/>
                    </w:rPr>
                    <w:t>Wartość osiągnięta od początku realizacji projektu (narastająco)</w:t>
                  </w:r>
                </w:p>
              </w:tc>
            </w:tr>
            <w:tr w:rsidR="003368BC" w:rsidRPr="004079CF" w14:paraId="669C00F4" w14:textId="77777777" w:rsidTr="004046E8">
              <w:tc>
                <w:tcPr>
                  <w:tcW w:w="2545" w:type="dxa"/>
                  <w:shd w:val="clear" w:color="auto" w:fill="auto"/>
                </w:tcPr>
                <w:p w14:paraId="72AA08EB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Liczba podmiotów, które udostępniły on-line informacje sektora publicznego 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00251C35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2AB7C20C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1</w:t>
                  </w:r>
                </w:p>
              </w:tc>
            </w:tr>
            <w:tr w:rsidR="003368BC" w:rsidRPr="004079CF" w14:paraId="4BDC7365" w14:textId="77777777" w:rsidTr="004046E8">
              <w:tc>
                <w:tcPr>
                  <w:tcW w:w="2545" w:type="dxa"/>
                  <w:shd w:val="clear" w:color="auto" w:fill="auto"/>
                </w:tcPr>
                <w:p w14:paraId="09DD7A85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Liczba zdigitalizowanych dokumentów zawierających informacje sektora publicznego (liczba zdigitalizowanych genomów lub egzomów)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10B1E6AF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13EB7B0E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852</w:t>
                  </w:r>
                </w:p>
              </w:tc>
            </w:tr>
            <w:tr w:rsidR="003368BC" w:rsidRPr="004079CF" w14:paraId="2C906C0B" w14:textId="77777777" w:rsidTr="004046E8">
              <w:tc>
                <w:tcPr>
                  <w:tcW w:w="2545" w:type="dxa"/>
                  <w:shd w:val="clear" w:color="auto" w:fill="auto"/>
                </w:tcPr>
                <w:p w14:paraId="6343C314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Liczba udostępnionych on-line dokumentów zawierających informacje sektora publicznego (liczba udostępnionych genomów lub egzomów)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399FCADB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850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4235FF50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852</w:t>
                  </w:r>
                </w:p>
              </w:tc>
            </w:tr>
            <w:tr w:rsidR="003368BC" w:rsidRPr="004079CF" w14:paraId="31782206" w14:textId="77777777" w:rsidTr="004046E8">
              <w:tc>
                <w:tcPr>
                  <w:tcW w:w="2545" w:type="dxa"/>
                  <w:shd w:val="clear" w:color="auto" w:fill="auto"/>
                </w:tcPr>
                <w:p w14:paraId="3B8D9C84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Liczba pobrań/odtworzeń dokumentów zawierających informacje sektora publicznego; 12 miesięcy po zakończeniu projektu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42BA4879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4250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7F7B1F99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0</w:t>
                  </w:r>
                  <w:r w:rsidR="009F1AB0"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*</w:t>
                  </w:r>
                </w:p>
              </w:tc>
            </w:tr>
            <w:tr w:rsidR="003368BC" w:rsidRPr="004079CF" w14:paraId="2187E683" w14:textId="77777777" w:rsidTr="004046E8">
              <w:tc>
                <w:tcPr>
                  <w:tcW w:w="2545" w:type="dxa"/>
                  <w:shd w:val="clear" w:color="auto" w:fill="auto"/>
                </w:tcPr>
                <w:p w14:paraId="68BE1A51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Rozmiar zdigitalizowanej informacji sektora publicznego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600482F8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2821535D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35,20</w:t>
                  </w:r>
                </w:p>
              </w:tc>
            </w:tr>
            <w:tr w:rsidR="003368BC" w:rsidRPr="004079CF" w14:paraId="17544E41" w14:textId="77777777" w:rsidTr="004046E8">
              <w:tc>
                <w:tcPr>
                  <w:tcW w:w="2545" w:type="dxa"/>
                  <w:shd w:val="clear" w:color="auto" w:fill="auto"/>
                </w:tcPr>
                <w:p w14:paraId="75A2ED41" w14:textId="77777777" w:rsidR="003368BC" w:rsidRPr="004079CF" w:rsidRDefault="003368BC" w:rsidP="003368BC">
                  <w:pPr>
                    <w:pStyle w:val="Tekstpodstawowy2"/>
                    <w:spacing w:after="0" w:line="259" w:lineRule="auto"/>
                    <w:ind w:left="34"/>
                    <w:rPr>
                      <w:rFonts w:ascii="Calibri" w:eastAsia="Calibri" w:hAnsi="Calibri" w:cs="Calibri"/>
                      <w:sz w:val="18"/>
                      <w:szCs w:val="18"/>
                      <w:lang w:val="pl-PL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  <w:lang w:val="pl-PL"/>
                    </w:rPr>
                    <w:t>Rozmiar udostępnionych on-line informacji sektora publicznego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0674C343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4873A380" w14:textId="77777777" w:rsidR="003368BC" w:rsidRPr="004079CF" w:rsidRDefault="003368BC" w:rsidP="003368BC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4079CF">
                    <w:rPr>
                      <w:rFonts w:ascii="Calibri" w:eastAsia="Calibri" w:hAnsi="Calibri" w:cs="Calibri"/>
                      <w:sz w:val="18"/>
                      <w:szCs w:val="18"/>
                    </w:rPr>
                    <w:t>35,20</w:t>
                  </w:r>
                </w:p>
              </w:tc>
            </w:tr>
          </w:tbl>
          <w:p w14:paraId="6F20566E" w14:textId="16490649" w:rsidR="004046E8" w:rsidRDefault="004046E8" w:rsidP="00BC120E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Wskaźniki projektu</w:t>
            </w:r>
          </w:p>
          <w:p w14:paraId="1BD3F475" w14:textId="77777777" w:rsidR="004046E8" w:rsidRPr="004079CF" w:rsidRDefault="004046E8" w:rsidP="00BC120E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762D36E" w14:textId="6A3C8D49" w:rsidR="003368BC" w:rsidRDefault="009F1AB0" w:rsidP="009F1AB0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sz w:val="18"/>
                <w:szCs w:val="18"/>
              </w:rPr>
              <w:t>*Wartość wskaźnika ma być osiągnięta w ciągu 12 miesięcy od zakończenia projektu – liczona jest od końca projektu.</w:t>
            </w:r>
          </w:p>
          <w:p w14:paraId="7555C8A6" w14:textId="77777777" w:rsidR="009F1AB0" w:rsidRDefault="009F1AB0" w:rsidP="004079CF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6FF7027" w14:textId="77777777" w:rsidR="003527FA" w:rsidRDefault="003527FA" w:rsidP="004079CF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Cele </w:t>
            </w:r>
            <w:r w:rsidR="00185BC9">
              <w:rPr>
                <w:rFonts w:ascii="Calibri" w:eastAsia="Calibri" w:hAnsi="Calibri" w:cs="Calibri"/>
                <w:sz w:val="18"/>
                <w:szCs w:val="18"/>
              </w:rPr>
              <w:t>zawarte w następujących dokumentach strategicznych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:</w:t>
            </w:r>
          </w:p>
          <w:p w14:paraId="407E7F14" w14:textId="77777777" w:rsidR="00185BC9" w:rsidRPr="003F1E76" w:rsidRDefault="00185BC9" w:rsidP="003F1E7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3F1E76">
              <w:rPr>
                <w:rFonts w:ascii="Calibri" w:eastAsia="Calibri" w:hAnsi="Calibri" w:cs="Calibri"/>
                <w:sz w:val="18"/>
                <w:szCs w:val="18"/>
              </w:rPr>
              <w:t xml:space="preserve">Regionalna Strategia Innowacji dla Województwa Łódzkiego „LORIS 2030”, </w:t>
            </w:r>
          </w:p>
          <w:p w14:paraId="4FDE064B" w14:textId="77777777" w:rsidR="003527FA" w:rsidRPr="003F1E76" w:rsidRDefault="00185BC9" w:rsidP="003F1E7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3F1E76">
              <w:rPr>
                <w:rFonts w:ascii="Calibri" w:eastAsia="Calibri" w:hAnsi="Calibri" w:cs="Calibri"/>
                <w:sz w:val="18"/>
                <w:szCs w:val="18"/>
              </w:rPr>
              <w:t>"Strategia Rozwoju Polski Centralnej do roku 2020 z perspektywą 2030</w:t>
            </w:r>
          </w:p>
          <w:p w14:paraId="13A457E5" w14:textId="77777777" w:rsidR="00185BC9" w:rsidRPr="003F1E76" w:rsidRDefault="00185BC9" w:rsidP="003F1E7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3F1E76">
              <w:rPr>
                <w:rFonts w:ascii="Calibri" w:eastAsia="Calibri" w:hAnsi="Calibri" w:cs="Calibri"/>
                <w:sz w:val="18"/>
                <w:szCs w:val="18"/>
              </w:rPr>
              <w:t>Program Operacyjny Polska Cyfrowa</w:t>
            </w:r>
          </w:p>
          <w:p w14:paraId="22CCAE35" w14:textId="77777777" w:rsidR="00185BC9" w:rsidRPr="003F1E76" w:rsidRDefault="00185BC9" w:rsidP="003F1E7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3F1E76">
              <w:rPr>
                <w:rFonts w:ascii="Calibri" w:eastAsia="Calibri" w:hAnsi="Calibri" w:cs="Calibri"/>
                <w:sz w:val="18"/>
                <w:szCs w:val="18"/>
              </w:rPr>
              <w:t>Założeniami do strategii rozwoju AI w Polsce;</w:t>
            </w:r>
          </w:p>
          <w:p w14:paraId="2143DBB5" w14:textId="77777777" w:rsidR="003527FA" w:rsidRPr="003F1E76" w:rsidRDefault="00185BC9" w:rsidP="003F1E76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3F1E76">
              <w:rPr>
                <w:rFonts w:ascii="Calibri" w:eastAsia="Calibri" w:hAnsi="Calibri" w:cs="Calibri"/>
                <w:sz w:val="18"/>
                <w:szCs w:val="18"/>
              </w:rPr>
              <w:t>Europejska Strategia w zakresie Danych</w:t>
            </w:r>
          </w:p>
        </w:tc>
      </w:tr>
      <w:tr w:rsidR="007A0A3D" w:rsidRPr="002450C4" w14:paraId="65F7CF12" w14:textId="77777777" w:rsidTr="004079CF">
        <w:tc>
          <w:tcPr>
            <w:tcW w:w="434" w:type="dxa"/>
          </w:tcPr>
          <w:p w14:paraId="7EAFB94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3663ABE4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7507" w:type="dxa"/>
          </w:tcPr>
          <w:p w14:paraId="28C60E3D" w14:textId="77777777" w:rsidR="003478A4" w:rsidRDefault="003478A4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511D0DC8" w14:textId="77777777" w:rsidR="00357485" w:rsidRPr="004079CF" w:rsidRDefault="003478A4" w:rsidP="003478A4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Zakupy w oparciu o przepisy ustawy PZP głównym ryzykiem są przedłużające się procedury postępowań. Aby zminimalizować ten negatywny wpływ Beneficjent stosuje ogłoszenia wstępne</w:t>
            </w:r>
            <w:r w:rsidR="00357485"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. Co pozwala na skrócenie czasu postępowania docelowego do 16 dni. </w:t>
            </w:r>
            <w:r w:rsidR="0057209D"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W trudnych do przygotowania specyfikacjach technicznych Beneficjent korzystał z pomocy ekspertów COI – usługa POPC Wsparcie.</w:t>
            </w:r>
          </w:p>
          <w:p w14:paraId="62A68067" w14:textId="77777777" w:rsidR="0057209D" w:rsidRPr="004079CF" w:rsidRDefault="0057209D" w:rsidP="003478A4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898EBF3" w14:textId="77777777" w:rsidR="0057209D" w:rsidRPr="004079CF" w:rsidRDefault="0057209D" w:rsidP="003478A4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Wystąpiły problemy związane z zależnościami z innymi projektami/infrastrukturą. Mianowicie wskazana przez RAIT jako dedykowana przestrzeń składowania danych „Polska Platforma Medyczna” nie posiadało wystarczającej </w:t>
            </w:r>
            <w:r w:rsidR="00D16770"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pojemności </w:t>
            </w: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przestrzeni składowania</w:t>
            </w:r>
            <w:r w:rsidR="00D16770"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.</w:t>
            </w: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r w:rsidR="00D16770"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Z kolei</w:t>
            </w: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r w:rsidR="00D16770"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R</w:t>
            </w: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epozytorium KRONIKa</w:t>
            </w:r>
            <w:r w:rsidR="00D16770"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było również niedostępne z uwagi na problemy z przepustowością łącza. Największym zagrożeniem był brak jasnej komunikacji ze strony realizato</w:t>
            </w:r>
            <w:r w:rsidR="000A5D6B"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rów projektu KRONIKa. Uniemożliwiało to IP podjęcie decyzji o zmianach w zakresie projektu Beneficjenta. Zmiany zostały zaakceptowane dopiero na mniej niż 4 miesiące przed planowaną datą zakończenia projektu co spowodowało konieczność wydłużenia czasu realizacji projektu i zmiany w zakresie.</w:t>
            </w:r>
          </w:p>
          <w:p w14:paraId="0DA09EC6" w14:textId="77777777" w:rsidR="003478A4" w:rsidRPr="002450C4" w:rsidRDefault="003478A4" w:rsidP="003478A4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14:paraId="1979A33A" w14:textId="77777777" w:rsidTr="004079CF">
        <w:tc>
          <w:tcPr>
            <w:tcW w:w="434" w:type="dxa"/>
          </w:tcPr>
          <w:p w14:paraId="6ECFC7C4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342FAF6D" w14:textId="77777777" w:rsidR="00813FEF" w:rsidRDefault="009D3D41" w:rsidP="009D3D41">
            <w:pPr>
              <w:rPr>
                <w:sz w:val="18"/>
                <w:szCs w:val="20"/>
              </w:rPr>
            </w:pPr>
            <w:r w:rsidRPr="00185BC9">
              <w:rPr>
                <w:sz w:val="18"/>
                <w:szCs w:val="20"/>
              </w:rPr>
              <w:t>U</w:t>
            </w:r>
            <w:r w:rsidR="00813FEF" w:rsidRPr="00185BC9">
              <w:rPr>
                <w:sz w:val="18"/>
                <w:szCs w:val="20"/>
              </w:rPr>
              <w:t>zyskane korzyści</w:t>
            </w:r>
            <w:r w:rsidR="00813FEF">
              <w:rPr>
                <w:sz w:val="18"/>
                <w:szCs w:val="20"/>
              </w:rPr>
              <w:t xml:space="preserve"> </w:t>
            </w:r>
          </w:p>
        </w:tc>
        <w:tc>
          <w:tcPr>
            <w:tcW w:w="7507" w:type="dxa"/>
          </w:tcPr>
          <w:p w14:paraId="2469C0F1" w14:textId="77777777" w:rsidR="00B4665E" w:rsidRDefault="00B4665E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B4665E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W wyniku </w:t>
            </w:r>
            <w:r w:rsidR="005C51C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realizacji </w:t>
            </w:r>
            <w:r w:rsidRPr="00B4665E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projektu zostały wytworzone zostały cenne naukowo zbiory danych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(450 sekwencji egzomów i 402 sekwencje pełnych genomów). </w:t>
            </w:r>
            <w:r w:rsidR="005C51C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Jedne z największych publicznie dostępnych zbiorów danych genomicznych na temat populacji polskiej.</w:t>
            </w:r>
          </w:p>
          <w:p w14:paraId="081B96F3" w14:textId="77777777" w:rsidR="00BD508F" w:rsidRDefault="00BD508F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57AA100" w14:textId="77777777" w:rsidR="00BD508F" w:rsidRDefault="00BD508F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W wyniku realizacji projektu Pracownia Biobank UŁ została wyposażona w nowoczesny sprzęt do cyfryz</w:t>
            </w:r>
            <w:r w:rsidR="00185BC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cji DNA – umożliwiający wysokoprzepustowe sekwen</w:t>
            </w:r>
            <w:r w:rsidR="00185BC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cjon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ow</w:t>
            </w:r>
            <w:r w:rsidR="00185BC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nie nowej generacji (ang. New Generation Sequencing NGS). Ponadto w trakcie realizacji projektu wytworzone zostały kompetencje </w:t>
            </w:r>
            <w:r w:rsidRPr="00BD508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w zakresie digitalizacji/sekwencjonowania Ludzkiego Materiału Biologicznego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.</w:t>
            </w:r>
            <w:r w:rsidRPr="00BD508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D</w:t>
            </w:r>
            <w:r w:rsidRPr="00BD508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zięki cz</w:t>
            </w:r>
            <w:r w:rsidR="00185BC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emu, Pracownia Bi</w:t>
            </w:r>
            <w:r w:rsidRPr="00BD508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obank UŁ jest w stanie wspierać realizację projektów z obszaru genetyki/genomiki realizowanych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również </w:t>
            </w:r>
            <w:r w:rsidRPr="00BD508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przez inne instytucje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. Pierwszym efektem jest zaproszenie UŁ do udziału </w:t>
            </w:r>
            <w:r w:rsid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w 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europejskim konsorcjum ubiegającym się o realizację projektu Genom of Europe.</w:t>
            </w:r>
          </w:p>
          <w:p w14:paraId="6C7F43BB" w14:textId="77777777" w:rsidR="00BD508F" w:rsidRDefault="00BD508F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95648C1" w14:textId="77777777" w:rsidR="00BD508F" w:rsidRDefault="00BD508F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Wytworzona została </w:t>
            </w:r>
            <w:r w:rsidR="005C51C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unikalna w skali kraju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infrastruktura </w:t>
            </w:r>
            <w:r w:rsidR="005C51C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Polskiego Węzła Europejskiego Archiwum Genomów, służąca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do przechowywania oraz</w:t>
            </w:r>
            <w:r w:rsid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udostępniania w bezpieczny i 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kontrolowany sposób danych genomicznych (szczególna kategoria danych w rozumieniu RODO). W</w:t>
            </w:r>
            <w:r w:rsid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chwili obecnej prowadzone są na różnym etapie zaawansowania rozmowy na temat zdeponowania zborów danych </w:t>
            </w:r>
            <w:r w:rsid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z czterech różnych jednostek naukowych. Pojawiają się również pierwsze zapytania o możliwość skorzystania ze zbiorów danych. </w:t>
            </w:r>
          </w:p>
          <w:p w14:paraId="2E31FCA4" w14:textId="77777777" w:rsidR="00554B99" w:rsidRDefault="00554B99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4EB5E1F7" w14:textId="36EA5048" w:rsidR="00554B99" w:rsidRDefault="00554B99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Realizacja projektu stała się również okazją do promocji nauki i angażowania lokalnej społeczności. Prowadzone były zajęcia w szkołach promujące wiedzę na temat biobankowania, genetyki i znaczenia danych w badaniach populacyjnych. U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dało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się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nawet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zrealizować warsztat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y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z izolacji DNA w</w:t>
            </w:r>
            <w:r w:rsidR="00185BC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 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Przedszkolu Miejskim nr 229 w Łodzi. Sukces przerósł najśmielsze oczekiwania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Beneficjenta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. Przedszkolaki zdobyli ogromną wiedzę, sprawdzili ich dziennikarze Radia Łódź (drugi materiał audio na stronie: </w:t>
            </w:r>
            <w:hyperlink r:id="rId7" w:history="1">
              <w:r w:rsidR="005C51C7" w:rsidRPr="00636210">
                <w:rPr>
                  <w:rStyle w:val="Hipercze"/>
                  <w:rFonts w:ascii="Calibri" w:eastAsia="Calibri" w:hAnsi="Calibri" w:cs="Calibri"/>
                  <w:bCs/>
                  <w:sz w:val="18"/>
                  <w:szCs w:val="18"/>
                </w:rPr>
                <w:t>https://radiolodz.pl/kampania-genetyka-ratuje-zycie,252084/</w:t>
              </w:r>
            </w:hyperlink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). Ponadto młodzi naukowcy zainspirowani warsztatami przygotowali przedstawienie na temat poszukiwania nowych gatunków i izolacji DNA. Premiera odbyła się w Gdyni w trakcie konkursu "Odyseja Umysłu". Przedstawienie zostało ponownie wykonane na Wydziale Biologii i Ochrony Środowiska z okazji Światowego Dnia DNA - 25 kwietnia 2023. Link do premierowego pokazu: </w:t>
            </w:r>
            <w:hyperlink r:id="rId8" w:history="1">
              <w:r w:rsidR="005C51C7" w:rsidRPr="00636210">
                <w:rPr>
                  <w:rStyle w:val="Hipercze"/>
                  <w:rFonts w:ascii="Calibri" w:eastAsia="Calibri" w:hAnsi="Calibri" w:cs="Calibri"/>
                  <w:bCs/>
                  <w:sz w:val="18"/>
                  <w:szCs w:val="18"/>
                </w:rPr>
                <w:t>https://bit.ly/ppm229</w:t>
              </w:r>
            </w:hyperlink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. Kolejnym wielkim sukcesem w 2023 roku stała się akcja "Fl</w:t>
            </w:r>
            <w:r w:rsidR="00185BC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ashmob PCR" inspirowana grami i 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zabawami ruchowymi prowadzonymi w trakcie warsztatów. 13 czerwca na płycie Stadionu Miejskiego Łódzkiego Klubu Sportowego grupa 700 dzieciaków z 1</w:t>
            </w:r>
            <w:r w:rsidR="00185BC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4 łódzkich szkół, przedszkola i 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specjalnego ośrodka szkolno-wychowawczego (dzieci słabo widzące i niedowidzące) wcieliła się w</w:t>
            </w:r>
            <w:r w:rsidR="003F1E76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 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role nukleotydów - cząsteczek tworzących nić DNA i przy wsparciu ponad 40 wolontariuszy odtworzyła przebieg reakcji PCR. Przebieg całego wydarzenia filmowany był przy użyciu drona a</w:t>
            </w:r>
            <w:r w:rsidR="00185BC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 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zebrany materiał pozwolił na stworzenie filmu edukacyjnego w którym Krystyna Czubówna swoim głosem tłumaczy czym jest i jakie zastosowanie ma Reakcja PCR. Tak, ta, o której wszyscy słyszeli przy okazji "testów na Covid", ale nie każdy wie na czym polega. Przekaz medialny mocno wypaczył znaczenie tego podstawowego narzędzia biologii molekularnej - co </w:t>
            </w:r>
            <w:r w:rsidR="001C118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Beneficjent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zamierza korygować </w:t>
            </w:r>
            <w:r w:rsidR="001C118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m.in.</w:t>
            </w:r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przy pomocy filmu, którego premiera obyła się 14 września 2023 roku. Efekt dostępny jest pod linkiem: </w:t>
            </w:r>
            <w:hyperlink r:id="rId9" w:history="1">
              <w:r w:rsidRPr="00636210">
                <w:rPr>
                  <w:rStyle w:val="Hipercze"/>
                  <w:rFonts w:ascii="Calibri" w:eastAsia="Calibri" w:hAnsi="Calibri" w:cs="Calibri"/>
                  <w:bCs/>
                  <w:sz w:val="18"/>
                  <w:szCs w:val="18"/>
                </w:rPr>
                <w:t>https://bit.ly/FlashMobPCR</w:t>
              </w:r>
            </w:hyperlink>
            <w:r w:rsidRPr="00554B9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W ramach współpracy z Łódzką ASP powstała książeczka </w:t>
            </w:r>
            <w:r w:rsidR="005C51C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(</w:t>
            </w:r>
            <w:hyperlink r:id="rId10" w:history="1">
              <w:r w:rsidR="00102B5F" w:rsidRPr="00102B5F">
                <w:rPr>
                  <w:rStyle w:val="Hipercze"/>
                  <w:rFonts w:ascii="Calibri" w:eastAsia="Calibri" w:hAnsi="Calibri" w:cs="Calibri"/>
                  <w:bCs/>
                  <w:sz w:val="18"/>
                  <w:szCs w:val="18"/>
                </w:rPr>
                <w:t>https://we.tl/t-wCSRmMswiI</w:t>
              </w:r>
            </w:hyperlink>
            <w:r w:rsidR="005C51C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promująca genetykę stworzona przez studentów Instytutu Projektowania Graficznego. 12 Kwietnia 2024 odbędzie się wernisaż prac młodych artystów podsumowujący </w:t>
            </w:r>
            <w:r w:rsidR="005C51C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zakończoną współpracę.</w:t>
            </w:r>
          </w:p>
          <w:p w14:paraId="32AA9806" w14:textId="77777777" w:rsidR="005C51C7" w:rsidRDefault="005C51C7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5596E91B" w14:textId="77777777" w:rsidR="00813FEF" w:rsidRPr="003527FA" w:rsidRDefault="001C1187" w:rsidP="00BC120E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1C1187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Zgodnie z zapisami studium wykonalności pomiar utylizacji produktów mierzony będzie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na podstawie pozytywnie rozpatrzonych wniosków o dostęp do danych.</w:t>
            </w:r>
          </w:p>
        </w:tc>
      </w:tr>
      <w:tr w:rsidR="00F82254" w:rsidRPr="002450C4" w14:paraId="0EC818EB" w14:textId="77777777" w:rsidTr="004079CF">
        <w:tc>
          <w:tcPr>
            <w:tcW w:w="434" w:type="dxa"/>
          </w:tcPr>
          <w:p w14:paraId="6A77A98E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0BB0A35A" w14:textId="77777777" w:rsidR="00F82254" w:rsidRPr="00386D28" w:rsidRDefault="00F82254" w:rsidP="00F82254">
            <w:pPr>
              <w:rPr>
                <w:sz w:val="18"/>
                <w:szCs w:val="20"/>
                <w:highlight w:val="lightGray"/>
              </w:rPr>
            </w:pPr>
            <w:r w:rsidRPr="003C4F93">
              <w:rPr>
                <w:sz w:val="18"/>
                <w:szCs w:val="20"/>
              </w:rPr>
              <w:t>E-usługi i rejestry z jakimi zintegrował się wytworzony system w ramach realizacji projektu</w:t>
            </w:r>
            <w:bookmarkStart w:id="0" w:name="_GoBack"/>
            <w:bookmarkEnd w:id="0"/>
          </w:p>
        </w:tc>
        <w:tc>
          <w:tcPr>
            <w:tcW w:w="7507" w:type="dxa"/>
          </w:tcPr>
          <w:p w14:paraId="1277635A" w14:textId="77777777" w:rsidR="008564CD" w:rsidRPr="004079CF" w:rsidRDefault="008564CD" w:rsidP="004079CF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Central EGA – System zarządzający Europejskim Archiwum Genomów</w:t>
            </w:r>
          </w:p>
          <w:p w14:paraId="092B3B41" w14:textId="77777777" w:rsidR="008564CD" w:rsidRPr="004079CF" w:rsidRDefault="008564CD" w:rsidP="004079CF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BBMRI-ERIC Directory – europejski katalog materiałów biologicznych</w:t>
            </w:r>
          </w:p>
          <w:p w14:paraId="5A8CF1FF" w14:textId="77777777" w:rsidR="003527FA" w:rsidRDefault="003527FA" w:rsidP="004079CF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C2CA51E" w14:textId="77777777" w:rsidR="008564CD" w:rsidRDefault="008564CD" w:rsidP="004079CF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KRONIK@ - Wstrzymane do czasu uzyskania przez kronikę parametrów technicznych umożliwiających integrację. Węzeł krajowy EGA (Local EGA) jest technicznie w pełni gotowy do integracji z Kroniką – przeprowadzono nawet pozytywnie zakończone testy transferu plików o małej objętości poniżej 100 GB. Problematyczne okazały się parametry łącza internetowego obsługującego KRONIKę (100 Mb/s oraz 5 TB limit miesięcznego transferu). Zgodnie z ustaleniami z trójstronnego spotkania (UŁ, KRONIKa, CPPC), z dnia 23.11.2023 ustalono, iż po umieszczeniu KRONIKi w</w:t>
            </w:r>
            <w:r w:rsidR="00185BC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 </w:t>
            </w: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infrastrukturze WIIP i uzyskaniu przez nią odpowiedniego poziomu </w:t>
            </w:r>
            <w:r w:rsidR="00185BC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dojrzałości, nakładem KRONIKI i </w:t>
            </w: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WIIP zostanie dokonana migracja (dotychczas wytworzonych/zdeponowanych) danych do KRONIKi.</w:t>
            </w:r>
          </w:p>
          <w:p w14:paraId="07C755CE" w14:textId="77777777" w:rsidR="004079CF" w:rsidRDefault="004079CF" w:rsidP="004079CF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05337484" w14:textId="77777777" w:rsidR="00EF4C03" w:rsidRDefault="00EF4C03" w:rsidP="004079CF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System Central EGA, jak i samo archiwum utrzymywany jest przez Europejski Instytut Informatyki – EBML-EBI. System dostępny jest przez przeglądarkę internetową. Przeglądania metadanych nie zawierających danych osobowych/wrażliwych nie wymaga logowania/rejestracji. Natomiast pobranie danych wymaga logowania i zgody komitetu dostępu do danych (DAC). DAC ustanawiany jest przez dysponenta zbioru. Zadaniem komitetu jest nadzór nad tym aby dane zostały udostępnione zgodnie z intencją dawców i zasadami określonymi przez twórców/dysponentów zbioru. Powyższe ograniczenia w dostępnie do danych zastosowano z uwagi zawartość udostępnianych zbiorów danych – sekwencji DNA człowieka. W rozumieniu RODO jest to szczególna kategoria danych.</w:t>
            </w:r>
            <w:r w:rsidR="005D68E2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Zastosowane zostały rozwiązania zgodne z ideą Europejskiej Strategii Danych. </w:t>
            </w:r>
          </w:p>
          <w:p w14:paraId="220993AB" w14:textId="77777777" w:rsidR="00EF4C03" w:rsidRDefault="00EF4C03" w:rsidP="004079CF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6472C4EF" w14:textId="77777777" w:rsidR="004B6BA1" w:rsidRDefault="004B6BA1" w:rsidP="004079CF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BBMRI-ERIC Directory</w:t>
            </w:r>
            <w:r w:rsidR="0061533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 – usługa utrzymywana przez konsorcjum BBMRI-ERIC. Dostęp do repozytorium nie wymaga logowania. Główna funkcjonalność polega na wyszukiwaniu informacji o kolekcjach materiału biologicznego i opisujących je danych.</w:t>
            </w:r>
          </w:p>
          <w:p w14:paraId="21F9FF69" w14:textId="77777777" w:rsidR="00F82254" w:rsidRDefault="00F82254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69502680" w14:textId="77777777" w:rsidTr="004079CF">
        <w:tc>
          <w:tcPr>
            <w:tcW w:w="434" w:type="dxa"/>
          </w:tcPr>
          <w:p w14:paraId="2D70A492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55664D87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507" w:type="dxa"/>
          </w:tcPr>
          <w:p w14:paraId="50B921BD" w14:textId="77777777" w:rsidR="007C54F9" w:rsidRPr="003368BC" w:rsidRDefault="003368BC" w:rsidP="003368BC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 xml:space="preserve">Zgodnie z zapisami </w:t>
            </w:r>
            <w:r w:rsidRPr="006107FF">
              <w:rPr>
                <w:sz w:val="18"/>
                <w:szCs w:val="18"/>
              </w:rPr>
              <w:t xml:space="preserve">Studium Wykonalności Beneficjent będzie </w:t>
            </w:r>
            <w:r w:rsidRPr="00190579">
              <w:rPr>
                <w:sz w:val="18"/>
                <w:szCs w:val="18"/>
              </w:rPr>
              <w:t xml:space="preserve">utrzymywał finansowanie </w:t>
            </w:r>
            <w:r>
              <w:rPr>
                <w:sz w:val="18"/>
                <w:szCs w:val="18"/>
              </w:rPr>
              <w:t>produktów projektu</w:t>
            </w:r>
            <w:r w:rsidRPr="00190579">
              <w:rPr>
                <w:sz w:val="18"/>
                <w:szCs w:val="18"/>
              </w:rPr>
              <w:t xml:space="preserve"> w okresie trwałości z środkó</w:t>
            </w:r>
            <w:r w:rsidRPr="006107FF">
              <w:rPr>
                <w:sz w:val="18"/>
                <w:szCs w:val="18"/>
              </w:rPr>
              <w:t>w własnych.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D3D41" w:rsidRPr="002450C4" w14:paraId="6AA10F91" w14:textId="77777777" w:rsidTr="004079CF">
        <w:tc>
          <w:tcPr>
            <w:tcW w:w="434" w:type="dxa"/>
          </w:tcPr>
          <w:p w14:paraId="42E1EA58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121" w:type="dxa"/>
          </w:tcPr>
          <w:p w14:paraId="6FE816BF" w14:textId="77777777" w:rsidR="009D3D41" w:rsidRDefault="009D3D41" w:rsidP="007E6098">
            <w:pPr>
              <w:rPr>
                <w:sz w:val="18"/>
                <w:szCs w:val="20"/>
              </w:rPr>
            </w:pPr>
            <w:r w:rsidRPr="008D0858"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507" w:type="dxa"/>
          </w:tcPr>
          <w:p w14:paraId="35BD82FE" w14:textId="77777777" w:rsidR="004079CF" w:rsidRDefault="0032281B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Zakupy w oparciu o przepisy ustawy PZP głównym ryzykiem są przedłużające się procedury postępowań. Aby zminimalizować ten negatywny wpływ Beneficjent 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z odpowiednim wyprzedzeniem </w:t>
            </w:r>
            <w:r w:rsidRPr="004079CF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stosuje ogłoszenia wstępne. Co pozwala na skrócenie czasu postępowania docelowego do 16 dni</w:t>
            </w: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 xml:space="preserve">. </w:t>
            </w:r>
          </w:p>
          <w:p w14:paraId="42570970" w14:textId="77777777" w:rsidR="008D0858" w:rsidRDefault="008D0858" w:rsidP="009D3D41">
            <w:pPr>
              <w:jc w:val="both"/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</w:pPr>
          </w:p>
          <w:p w14:paraId="2011EC40" w14:textId="77777777" w:rsidR="008D0858" w:rsidRDefault="008D0858" w:rsidP="008D0858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Ważna jest rzetelna komunikacja pomiędzy zespołami realizującymi projekty zależne. W skrajnych przypadkach jej brak może zagrozić pomyślnej realizacji przedsięwzięcia.</w:t>
            </w:r>
          </w:p>
        </w:tc>
      </w:tr>
    </w:tbl>
    <w:p w14:paraId="3FDF0FFB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BFD209" w16cex:dateUtc="2024-04-09T12:41:00Z"/>
  <w16cex:commentExtensible w16cex:durableId="29BFD2B1" w16cex:dateUtc="2024-04-09T12:44:00Z"/>
  <w16cex:commentExtensible w16cex:durableId="29BFD315" w16cex:dateUtc="2024-04-09T12:45:00Z"/>
  <w16cex:commentExtensible w16cex:durableId="29BFD322" w16cex:dateUtc="2024-04-09T12:45:00Z"/>
  <w16cex:commentExtensible w16cex:durableId="29BFD463" w16cex:dateUtc="2024-04-09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39DECC" w16cid:durableId="29BFD209"/>
  <w16cid:commentId w16cid:paraId="5C1797EB" w16cid:durableId="29BFD2B1"/>
  <w16cid:commentId w16cid:paraId="61B93FFB" w16cid:durableId="29BFC206"/>
  <w16cid:commentId w16cid:paraId="03CB8A17" w16cid:durableId="29BFD315"/>
  <w16cid:commentId w16cid:paraId="1AD87B98" w16cid:durableId="29BFC207"/>
  <w16cid:commentId w16cid:paraId="41DAF507" w16cid:durableId="29BFD322"/>
  <w16cid:commentId w16cid:paraId="1EAC28D2" w16cid:durableId="29BFD46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EE668" w14:textId="77777777" w:rsidR="00E943F0" w:rsidRDefault="00E943F0" w:rsidP="0059736F">
      <w:pPr>
        <w:spacing w:after="0" w:line="240" w:lineRule="auto"/>
      </w:pPr>
      <w:r>
        <w:separator/>
      </w:r>
    </w:p>
  </w:endnote>
  <w:endnote w:type="continuationSeparator" w:id="0">
    <w:p w14:paraId="74B4AE72" w14:textId="77777777" w:rsidR="00E943F0" w:rsidRDefault="00E943F0" w:rsidP="00597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94C7D" w14:textId="77777777" w:rsidR="00E943F0" w:rsidRDefault="00E943F0" w:rsidP="0059736F">
      <w:pPr>
        <w:spacing w:after="0" w:line="240" w:lineRule="auto"/>
      </w:pPr>
      <w:r>
        <w:separator/>
      </w:r>
    </w:p>
  </w:footnote>
  <w:footnote w:type="continuationSeparator" w:id="0">
    <w:p w14:paraId="1A85D040" w14:textId="77777777" w:rsidR="00E943F0" w:rsidRDefault="00E943F0" w:rsidP="00597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67E56"/>
    <w:multiLevelType w:val="hybridMultilevel"/>
    <w:tmpl w:val="483A2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52F6B"/>
    <w:multiLevelType w:val="hybridMultilevel"/>
    <w:tmpl w:val="204EA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8D551B"/>
    <w:multiLevelType w:val="hybridMultilevel"/>
    <w:tmpl w:val="8B62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C600C7"/>
    <w:multiLevelType w:val="hybridMultilevel"/>
    <w:tmpl w:val="4E3CB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6727A"/>
    <w:rsid w:val="000A5D6B"/>
    <w:rsid w:val="000D3CA9"/>
    <w:rsid w:val="000E0C6F"/>
    <w:rsid w:val="000F373C"/>
    <w:rsid w:val="00102B5F"/>
    <w:rsid w:val="001258FE"/>
    <w:rsid w:val="001455E8"/>
    <w:rsid w:val="001600BB"/>
    <w:rsid w:val="00170653"/>
    <w:rsid w:val="00170815"/>
    <w:rsid w:val="001806EC"/>
    <w:rsid w:val="00185053"/>
    <w:rsid w:val="00185BC9"/>
    <w:rsid w:val="001C1187"/>
    <w:rsid w:val="001C611C"/>
    <w:rsid w:val="001C6D7D"/>
    <w:rsid w:val="002055E2"/>
    <w:rsid w:val="00205DE4"/>
    <w:rsid w:val="0021582D"/>
    <w:rsid w:val="002450C4"/>
    <w:rsid w:val="002A153C"/>
    <w:rsid w:val="002A728C"/>
    <w:rsid w:val="00306035"/>
    <w:rsid w:val="0032281B"/>
    <w:rsid w:val="003368BC"/>
    <w:rsid w:val="003478A4"/>
    <w:rsid w:val="003527FA"/>
    <w:rsid w:val="00357485"/>
    <w:rsid w:val="00386D28"/>
    <w:rsid w:val="003A792A"/>
    <w:rsid w:val="003B107D"/>
    <w:rsid w:val="003B7BD6"/>
    <w:rsid w:val="003C4F93"/>
    <w:rsid w:val="003D7919"/>
    <w:rsid w:val="003F1E76"/>
    <w:rsid w:val="004046DC"/>
    <w:rsid w:val="004046E8"/>
    <w:rsid w:val="004079CF"/>
    <w:rsid w:val="0041277A"/>
    <w:rsid w:val="004A37A1"/>
    <w:rsid w:val="004B1839"/>
    <w:rsid w:val="004B19FE"/>
    <w:rsid w:val="004B6BA1"/>
    <w:rsid w:val="004D135D"/>
    <w:rsid w:val="005355DC"/>
    <w:rsid w:val="00544510"/>
    <w:rsid w:val="00554B99"/>
    <w:rsid w:val="005618F1"/>
    <w:rsid w:val="0057209D"/>
    <w:rsid w:val="005730D4"/>
    <w:rsid w:val="0058262E"/>
    <w:rsid w:val="0059736F"/>
    <w:rsid w:val="005A4344"/>
    <w:rsid w:val="005C51C7"/>
    <w:rsid w:val="005D4188"/>
    <w:rsid w:val="005D68E2"/>
    <w:rsid w:val="005F0C5D"/>
    <w:rsid w:val="0061533F"/>
    <w:rsid w:val="00632AA0"/>
    <w:rsid w:val="00643672"/>
    <w:rsid w:val="0065671B"/>
    <w:rsid w:val="00685B8D"/>
    <w:rsid w:val="00687AFE"/>
    <w:rsid w:val="0069019F"/>
    <w:rsid w:val="006A5B27"/>
    <w:rsid w:val="006B7454"/>
    <w:rsid w:val="006E45DE"/>
    <w:rsid w:val="00716201"/>
    <w:rsid w:val="007408A3"/>
    <w:rsid w:val="00743031"/>
    <w:rsid w:val="007437D9"/>
    <w:rsid w:val="00773523"/>
    <w:rsid w:val="007A0A3D"/>
    <w:rsid w:val="007B5375"/>
    <w:rsid w:val="007C54F9"/>
    <w:rsid w:val="007E2F1F"/>
    <w:rsid w:val="007E6098"/>
    <w:rsid w:val="007F63EF"/>
    <w:rsid w:val="00813FEF"/>
    <w:rsid w:val="00814C23"/>
    <w:rsid w:val="008213A6"/>
    <w:rsid w:val="00851485"/>
    <w:rsid w:val="008564CD"/>
    <w:rsid w:val="008632E4"/>
    <w:rsid w:val="008701C3"/>
    <w:rsid w:val="008927DE"/>
    <w:rsid w:val="008D0858"/>
    <w:rsid w:val="008D14CD"/>
    <w:rsid w:val="008E0416"/>
    <w:rsid w:val="00903F9E"/>
    <w:rsid w:val="00905779"/>
    <w:rsid w:val="0092099A"/>
    <w:rsid w:val="00920CE8"/>
    <w:rsid w:val="00982DC4"/>
    <w:rsid w:val="00984731"/>
    <w:rsid w:val="009D3D41"/>
    <w:rsid w:val="009E1398"/>
    <w:rsid w:val="009F1AB0"/>
    <w:rsid w:val="00A12836"/>
    <w:rsid w:val="00A1534B"/>
    <w:rsid w:val="00A15BDA"/>
    <w:rsid w:val="00A522AB"/>
    <w:rsid w:val="00A6601B"/>
    <w:rsid w:val="00A710B2"/>
    <w:rsid w:val="00A71A58"/>
    <w:rsid w:val="00A93C4F"/>
    <w:rsid w:val="00AA1C73"/>
    <w:rsid w:val="00AD09B9"/>
    <w:rsid w:val="00B33C04"/>
    <w:rsid w:val="00B4665E"/>
    <w:rsid w:val="00B57299"/>
    <w:rsid w:val="00B93735"/>
    <w:rsid w:val="00BC120E"/>
    <w:rsid w:val="00BD1B2D"/>
    <w:rsid w:val="00BD508F"/>
    <w:rsid w:val="00C37A3A"/>
    <w:rsid w:val="00C42446"/>
    <w:rsid w:val="00C546B0"/>
    <w:rsid w:val="00C56B53"/>
    <w:rsid w:val="00C67B9B"/>
    <w:rsid w:val="00C948E6"/>
    <w:rsid w:val="00CA79E4"/>
    <w:rsid w:val="00CB63F4"/>
    <w:rsid w:val="00CF4111"/>
    <w:rsid w:val="00D16770"/>
    <w:rsid w:val="00D22A05"/>
    <w:rsid w:val="00D2582C"/>
    <w:rsid w:val="00D65F79"/>
    <w:rsid w:val="00DB70A5"/>
    <w:rsid w:val="00E30008"/>
    <w:rsid w:val="00E52249"/>
    <w:rsid w:val="00E943F0"/>
    <w:rsid w:val="00ED15F7"/>
    <w:rsid w:val="00EF094D"/>
    <w:rsid w:val="00EF4C03"/>
    <w:rsid w:val="00F32CAA"/>
    <w:rsid w:val="00F741B3"/>
    <w:rsid w:val="00F82254"/>
    <w:rsid w:val="00FA2C7F"/>
    <w:rsid w:val="00FD074F"/>
    <w:rsid w:val="00FD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90B3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AD0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368BC"/>
    <w:rPr>
      <w:rFonts w:ascii="Arial" w:eastAsia="Times New Roman" w:hAnsi="Arial" w:cs="Times New Roman"/>
      <w:sz w:val="24"/>
      <w:szCs w:val="24"/>
      <w:lang w:val="en-US"/>
    </w:rPr>
  </w:style>
  <w:style w:type="paragraph" w:styleId="Tekstpodstawowy2">
    <w:name w:val="Body Text 2"/>
    <w:basedOn w:val="Normalny"/>
    <w:link w:val="Tekstpodstawowy2Znak"/>
    <w:qFormat/>
    <w:rsid w:val="003368BC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368BC"/>
  </w:style>
  <w:style w:type="character" w:customStyle="1" w:styleId="Other">
    <w:name w:val="Other_"/>
    <w:basedOn w:val="Domylnaczcionkaakapitu"/>
    <w:link w:val="Other0"/>
    <w:rsid w:val="005355DC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5355DC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d-label-value">
    <w:name w:val="td-label-value"/>
    <w:basedOn w:val="Domylnaczcionkaakapitu"/>
    <w:rsid w:val="00ED15F7"/>
  </w:style>
  <w:style w:type="character" w:styleId="Hipercze">
    <w:name w:val="Hyperlink"/>
    <w:basedOn w:val="Domylnaczcionkaakapitu"/>
    <w:uiPriority w:val="99"/>
    <w:unhideWhenUsed/>
    <w:rsid w:val="00554B99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4B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4B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4B99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BC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445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4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ppm2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diolodz.pl/kampania-genetyka-ratuje-zycie,252084/" TargetMode="Externa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e.tl/t-wCSRmMsw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FlashMobPC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2901</Words>
  <Characters>17410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Błażej Marciniak</cp:lastModifiedBy>
  <cp:revision>6</cp:revision>
  <dcterms:created xsi:type="dcterms:W3CDTF">2024-04-09T12:58:00Z</dcterms:created>
  <dcterms:modified xsi:type="dcterms:W3CDTF">2024-05-20T13:10:00Z</dcterms:modified>
</cp:coreProperties>
</file>